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09" w:rsidRPr="00285431" w:rsidRDefault="004C3B09" w:rsidP="004C3B09">
      <w:pPr>
        <w:rPr>
          <w:b/>
          <w:sz w:val="24"/>
          <w:szCs w:val="24"/>
          <w:u w:val="single"/>
        </w:rPr>
      </w:pPr>
      <w:proofErr w:type="spellStart"/>
      <w:r w:rsidRPr="00285431">
        <w:rPr>
          <w:b/>
          <w:sz w:val="24"/>
          <w:szCs w:val="24"/>
          <w:u w:val="single"/>
        </w:rPr>
        <w:t>Objetivo</w:t>
      </w:r>
      <w:proofErr w:type="spellEnd"/>
      <w:r w:rsidRPr="00285431">
        <w:rPr>
          <w:b/>
          <w:sz w:val="24"/>
          <w:szCs w:val="24"/>
          <w:u w:val="single"/>
        </w:rPr>
        <w:t xml:space="preserve"> de </w:t>
      </w:r>
      <w:proofErr w:type="spellStart"/>
      <w:r w:rsidRPr="00285431">
        <w:rPr>
          <w:b/>
          <w:sz w:val="24"/>
          <w:szCs w:val="24"/>
          <w:u w:val="single"/>
        </w:rPr>
        <w:t>aprendizaje</w:t>
      </w:r>
      <w:proofErr w:type="spellEnd"/>
      <w:r w:rsidRPr="00285431">
        <w:rPr>
          <w:b/>
          <w:sz w:val="24"/>
          <w:szCs w:val="24"/>
          <w:u w:val="single"/>
        </w:rPr>
        <w:t>:</w:t>
      </w: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Una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instantánea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rápida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conceptos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básicos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seguridad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radiológica</w:t>
      </w:r>
      <w:proofErr w:type="spellEnd"/>
      <w:r w:rsidRPr="00285431">
        <w:rPr>
          <w:sz w:val="24"/>
          <w:szCs w:val="24"/>
        </w:rPr>
        <w:t xml:space="preserve"> que </w:t>
      </w:r>
      <w:proofErr w:type="spellStart"/>
      <w:r w:rsidRPr="00285431">
        <w:rPr>
          <w:sz w:val="24"/>
          <w:szCs w:val="24"/>
        </w:rPr>
        <w:t>estarán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gramStart"/>
      <w:r w:rsidRPr="00285431">
        <w:rPr>
          <w:sz w:val="24"/>
          <w:szCs w:val="24"/>
        </w:rPr>
        <w:t xml:space="preserve">el </w:t>
      </w:r>
      <w:proofErr w:type="spellStart"/>
      <w:r w:rsidRPr="00285431">
        <w:rPr>
          <w:sz w:val="24"/>
          <w:szCs w:val="24"/>
        </w:rPr>
        <w:t>centro</w:t>
      </w:r>
      <w:proofErr w:type="spellEnd"/>
      <w:proofErr w:type="gram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todo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Curso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seguridad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radiológica</w:t>
      </w:r>
      <w:proofErr w:type="spellEnd"/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Comprender</w:t>
      </w:r>
      <w:proofErr w:type="spellEnd"/>
      <w:r w:rsidRPr="00285431">
        <w:rPr>
          <w:sz w:val="24"/>
          <w:szCs w:val="24"/>
        </w:rPr>
        <w:t xml:space="preserve"> y </w:t>
      </w:r>
      <w:proofErr w:type="spellStart"/>
      <w:r w:rsidRPr="00285431">
        <w:rPr>
          <w:sz w:val="24"/>
          <w:szCs w:val="24"/>
        </w:rPr>
        <w:t>aplicar</w:t>
      </w:r>
      <w:proofErr w:type="spellEnd"/>
      <w:r w:rsidRPr="00285431">
        <w:rPr>
          <w:sz w:val="24"/>
          <w:szCs w:val="24"/>
        </w:rPr>
        <w:t xml:space="preserve"> la Ley del </w:t>
      </w:r>
      <w:proofErr w:type="spellStart"/>
      <w:r w:rsidRPr="00285431">
        <w:rPr>
          <w:sz w:val="24"/>
          <w:szCs w:val="24"/>
        </w:rPr>
        <w:t>cuadrado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inverso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lo que </w:t>
      </w:r>
      <w:proofErr w:type="spellStart"/>
      <w:r w:rsidRPr="00285431">
        <w:rPr>
          <w:sz w:val="24"/>
          <w:szCs w:val="24"/>
        </w:rPr>
        <w:t>respecta</w:t>
      </w:r>
      <w:proofErr w:type="spellEnd"/>
      <w:r w:rsidRPr="00285431">
        <w:rPr>
          <w:sz w:val="24"/>
          <w:szCs w:val="24"/>
        </w:rPr>
        <w:t xml:space="preserve"> a la </w:t>
      </w:r>
      <w:proofErr w:type="spellStart"/>
      <w:r w:rsidRPr="00285431">
        <w:rPr>
          <w:sz w:val="24"/>
          <w:szCs w:val="24"/>
        </w:rPr>
        <w:t>seguridad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>.</w:t>
      </w: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Aprenda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cómo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nos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protegemos</w:t>
      </w:r>
      <w:proofErr w:type="spellEnd"/>
      <w:r w:rsidRPr="00285431">
        <w:rPr>
          <w:sz w:val="24"/>
          <w:szCs w:val="24"/>
        </w:rPr>
        <w:t xml:space="preserve">: </w:t>
      </w:r>
      <w:proofErr w:type="spellStart"/>
      <w:r w:rsidRPr="00285431">
        <w:rPr>
          <w:sz w:val="24"/>
          <w:szCs w:val="24"/>
        </w:rPr>
        <w:t>tiempo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distancia</w:t>
      </w:r>
      <w:proofErr w:type="spellEnd"/>
      <w:r w:rsidRPr="00285431">
        <w:rPr>
          <w:sz w:val="24"/>
          <w:szCs w:val="24"/>
        </w:rPr>
        <w:t xml:space="preserve"> y </w:t>
      </w:r>
      <w:proofErr w:type="spellStart"/>
      <w:r w:rsidRPr="00285431">
        <w:rPr>
          <w:sz w:val="24"/>
          <w:szCs w:val="24"/>
        </w:rPr>
        <w:t>blindaje</w:t>
      </w:r>
      <w:proofErr w:type="spellEnd"/>
    </w:p>
    <w:p w:rsidR="004C3B09" w:rsidRPr="00285431" w:rsidRDefault="004C3B09" w:rsidP="004C3B09">
      <w:pPr>
        <w:rPr>
          <w:b/>
          <w:sz w:val="24"/>
          <w:szCs w:val="24"/>
          <w:u w:val="single"/>
        </w:rPr>
      </w:pPr>
      <w:proofErr w:type="spellStart"/>
      <w:r w:rsidRPr="00285431">
        <w:rPr>
          <w:b/>
          <w:sz w:val="24"/>
          <w:szCs w:val="24"/>
          <w:u w:val="single"/>
        </w:rPr>
        <w:t>Recursos</w:t>
      </w:r>
      <w:proofErr w:type="spellEnd"/>
      <w:r w:rsidRPr="00285431">
        <w:rPr>
          <w:b/>
          <w:sz w:val="24"/>
          <w:szCs w:val="24"/>
          <w:u w:val="single"/>
        </w:rPr>
        <w:t>:</w:t>
      </w:r>
    </w:p>
    <w:p w:rsidR="004C3B09" w:rsidRPr="00285431" w:rsidRDefault="00285431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           </w:t>
      </w:r>
      <w:r w:rsidR="004C3B09" w:rsidRPr="00285431">
        <w:rPr>
          <w:sz w:val="24"/>
          <w:szCs w:val="24"/>
        </w:rPr>
        <w:t xml:space="preserve">NRC: </w:t>
      </w:r>
      <w:hyperlink r:id="rId4" w:history="1">
        <w:r w:rsidRPr="00285431">
          <w:rPr>
            <w:rStyle w:val="Hyperlink"/>
            <w:sz w:val="24"/>
            <w:szCs w:val="24"/>
          </w:rPr>
          <w:t>https://www.nrc.gov/</w:t>
        </w:r>
      </w:hyperlink>
      <w:r w:rsidRPr="00285431">
        <w:rPr>
          <w:sz w:val="24"/>
          <w:szCs w:val="24"/>
        </w:rPr>
        <w:t xml:space="preserve"> </w:t>
      </w:r>
    </w:p>
    <w:p w:rsidR="004C3B09" w:rsidRPr="00285431" w:rsidRDefault="004C3B09" w:rsidP="004C3B09">
      <w:pPr>
        <w:rPr>
          <w:b/>
          <w:sz w:val="24"/>
          <w:szCs w:val="24"/>
          <w:u w:val="single"/>
        </w:rPr>
      </w:pPr>
      <w:proofErr w:type="spellStart"/>
      <w:r w:rsidRPr="00285431">
        <w:rPr>
          <w:b/>
          <w:sz w:val="24"/>
          <w:szCs w:val="24"/>
          <w:u w:val="single"/>
        </w:rPr>
        <w:t>Actividades</w:t>
      </w:r>
      <w:proofErr w:type="spellEnd"/>
      <w:r w:rsidRPr="00285431">
        <w:rPr>
          <w:b/>
          <w:sz w:val="24"/>
          <w:szCs w:val="24"/>
          <w:u w:val="single"/>
        </w:rPr>
        <w:t xml:space="preserve"> de </w:t>
      </w:r>
      <w:proofErr w:type="spellStart"/>
      <w:r w:rsidRPr="00285431">
        <w:rPr>
          <w:b/>
          <w:sz w:val="24"/>
          <w:szCs w:val="24"/>
          <w:u w:val="single"/>
        </w:rPr>
        <w:t>aprendizaje</w:t>
      </w:r>
      <w:proofErr w:type="spellEnd"/>
      <w:r w:rsidRPr="00285431">
        <w:rPr>
          <w:b/>
          <w:sz w:val="24"/>
          <w:szCs w:val="24"/>
          <w:u w:val="single"/>
        </w:rPr>
        <w:t>:</w:t>
      </w:r>
    </w:p>
    <w:p w:rsidR="004C3B09" w:rsidRPr="00285431" w:rsidRDefault="00285431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         </w:t>
      </w:r>
      <w:hyperlink r:id="rId5" w:history="1">
        <w:r w:rsidRPr="00285431">
          <w:rPr>
            <w:rStyle w:val="Hyperlink"/>
            <w:sz w:val="24"/>
            <w:szCs w:val="24"/>
          </w:rPr>
          <w:t>https://www.nrc.gov/reading-rm/basic-ref/glossary/alara.html</w:t>
        </w:r>
      </w:hyperlink>
      <w:r w:rsidRPr="00285431">
        <w:rPr>
          <w:sz w:val="24"/>
          <w:szCs w:val="24"/>
        </w:rPr>
        <w:t xml:space="preserve"> </w:t>
      </w: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ALARA: Como se define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Título</w:t>
      </w:r>
      <w:proofErr w:type="spellEnd"/>
      <w:r w:rsidRPr="00285431">
        <w:rPr>
          <w:sz w:val="24"/>
          <w:szCs w:val="24"/>
        </w:rPr>
        <w:t xml:space="preserve"> 10, </w:t>
      </w:r>
      <w:proofErr w:type="spellStart"/>
      <w:r w:rsidRPr="00285431">
        <w:rPr>
          <w:sz w:val="24"/>
          <w:szCs w:val="24"/>
        </w:rPr>
        <w:t>Sección</w:t>
      </w:r>
      <w:proofErr w:type="spellEnd"/>
      <w:r w:rsidRPr="00285431">
        <w:rPr>
          <w:sz w:val="24"/>
          <w:szCs w:val="24"/>
        </w:rPr>
        <w:t xml:space="preserve"> 20.1003, </w:t>
      </w:r>
      <w:proofErr w:type="gramStart"/>
      <w:r w:rsidRPr="00285431">
        <w:rPr>
          <w:sz w:val="24"/>
          <w:szCs w:val="24"/>
        </w:rPr>
        <w:t>del</w:t>
      </w:r>
      <w:proofErr w:type="gram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Código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Regulaciones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Federales</w:t>
      </w:r>
      <w:proofErr w:type="spellEnd"/>
      <w:r w:rsidRPr="00285431">
        <w:rPr>
          <w:sz w:val="24"/>
          <w:szCs w:val="24"/>
        </w:rPr>
        <w:t xml:space="preserve"> (10 CFR 20.1003), ALARA </w:t>
      </w:r>
      <w:proofErr w:type="spellStart"/>
      <w:r w:rsidRPr="00285431">
        <w:rPr>
          <w:sz w:val="24"/>
          <w:szCs w:val="24"/>
        </w:rPr>
        <w:t>es</w:t>
      </w:r>
      <w:proofErr w:type="spellEnd"/>
      <w:r w:rsidRPr="00285431">
        <w:rPr>
          <w:sz w:val="24"/>
          <w:szCs w:val="24"/>
        </w:rPr>
        <w:t xml:space="preserve"> un </w:t>
      </w:r>
      <w:proofErr w:type="spellStart"/>
      <w:r w:rsidRPr="00285431">
        <w:rPr>
          <w:sz w:val="24"/>
          <w:szCs w:val="24"/>
        </w:rPr>
        <w:t>acrónimo</w:t>
      </w:r>
      <w:proofErr w:type="spellEnd"/>
      <w:r w:rsidRPr="00285431">
        <w:rPr>
          <w:sz w:val="24"/>
          <w:szCs w:val="24"/>
        </w:rPr>
        <w:t xml:space="preserve"> de "tan </w:t>
      </w:r>
      <w:proofErr w:type="spellStart"/>
      <w:r w:rsidRPr="00285431">
        <w:rPr>
          <w:sz w:val="24"/>
          <w:szCs w:val="24"/>
        </w:rPr>
        <w:t>bajo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como</w:t>
      </w:r>
      <w:proofErr w:type="spellEnd"/>
      <w:r w:rsidRPr="00285431">
        <w:rPr>
          <w:sz w:val="24"/>
          <w:szCs w:val="24"/>
        </w:rPr>
        <w:t xml:space="preserve"> (</w:t>
      </w:r>
      <w:proofErr w:type="spellStart"/>
      <w:r w:rsidRPr="00285431">
        <w:rPr>
          <w:sz w:val="24"/>
          <w:szCs w:val="24"/>
        </w:rPr>
        <w:t>es</w:t>
      </w:r>
      <w:proofErr w:type="spellEnd"/>
      <w:r w:rsidRPr="00285431">
        <w:rPr>
          <w:sz w:val="24"/>
          <w:szCs w:val="24"/>
        </w:rPr>
        <w:t xml:space="preserve">) </w:t>
      </w:r>
      <w:proofErr w:type="spellStart"/>
      <w:r w:rsidRPr="00285431">
        <w:rPr>
          <w:sz w:val="24"/>
          <w:szCs w:val="24"/>
        </w:rPr>
        <w:t>razonablemente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posible</w:t>
      </w:r>
      <w:proofErr w:type="spellEnd"/>
      <w:r w:rsidRPr="00285431">
        <w:rPr>
          <w:sz w:val="24"/>
          <w:szCs w:val="24"/>
        </w:rPr>
        <w:t xml:space="preserve">", lo que </w:t>
      </w:r>
      <w:proofErr w:type="spellStart"/>
      <w:r w:rsidRPr="00285431">
        <w:rPr>
          <w:sz w:val="24"/>
          <w:szCs w:val="24"/>
        </w:rPr>
        <w:t>significa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hacer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todos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esfuerzos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razonables</w:t>
      </w:r>
      <w:proofErr w:type="spellEnd"/>
      <w:r w:rsidRPr="00285431">
        <w:rPr>
          <w:sz w:val="24"/>
          <w:szCs w:val="24"/>
        </w:rPr>
        <w:t xml:space="preserve"> para </w:t>
      </w:r>
      <w:proofErr w:type="spellStart"/>
      <w:r w:rsidRPr="00285431">
        <w:rPr>
          <w:sz w:val="24"/>
          <w:szCs w:val="24"/>
        </w:rPr>
        <w:t>mantener</w:t>
      </w:r>
      <w:proofErr w:type="spellEnd"/>
      <w:r w:rsidRPr="00285431">
        <w:rPr>
          <w:sz w:val="24"/>
          <w:szCs w:val="24"/>
        </w:rPr>
        <w:t xml:space="preserve"> las </w:t>
      </w:r>
      <w:proofErr w:type="spellStart"/>
      <w:r w:rsidRPr="00285431">
        <w:rPr>
          <w:sz w:val="24"/>
          <w:szCs w:val="24"/>
        </w:rPr>
        <w:t>exposiciones</w:t>
      </w:r>
      <w:proofErr w:type="spellEnd"/>
      <w:r w:rsidRPr="00285431">
        <w:rPr>
          <w:sz w:val="24"/>
          <w:szCs w:val="24"/>
        </w:rPr>
        <w:t xml:space="preserve"> a la </w:t>
      </w:r>
      <w:proofErr w:type="spellStart"/>
      <w:r w:rsidRPr="00285431">
        <w:rPr>
          <w:sz w:val="24"/>
          <w:szCs w:val="24"/>
        </w:rPr>
        <w:t>ionización</w:t>
      </w:r>
      <w:proofErr w:type="spellEnd"/>
      <w:r w:rsidRPr="00285431">
        <w:rPr>
          <w:sz w:val="24"/>
          <w:szCs w:val="24"/>
        </w:rPr>
        <w:t xml:space="preserve">. </w:t>
      </w:r>
      <w:proofErr w:type="spellStart"/>
      <w:proofErr w:type="gram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 tan </w:t>
      </w:r>
      <w:proofErr w:type="spellStart"/>
      <w:r w:rsidRPr="00285431">
        <w:rPr>
          <w:sz w:val="24"/>
          <w:szCs w:val="24"/>
        </w:rPr>
        <w:t>por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debajo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límites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dosis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como</w:t>
      </w:r>
      <w:proofErr w:type="spellEnd"/>
      <w:r w:rsidRPr="00285431">
        <w:rPr>
          <w:sz w:val="24"/>
          <w:szCs w:val="24"/>
        </w:rPr>
        <w:t xml:space="preserve"> sea </w:t>
      </w:r>
      <w:proofErr w:type="spellStart"/>
      <w:r w:rsidRPr="00285431">
        <w:rPr>
          <w:sz w:val="24"/>
          <w:szCs w:val="24"/>
        </w:rPr>
        <w:t>práctico</w:t>
      </w:r>
      <w:proofErr w:type="spellEnd"/>
      <w:r w:rsidRPr="00285431">
        <w:rPr>
          <w:sz w:val="24"/>
          <w:szCs w:val="24"/>
        </w:rPr>
        <w:t xml:space="preserve">, de </w:t>
      </w:r>
      <w:proofErr w:type="spellStart"/>
      <w:r w:rsidRPr="00285431">
        <w:rPr>
          <w:sz w:val="24"/>
          <w:szCs w:val="24"/>
        </w:rPr>
        <w:t>acuerdo</w:t>
      </w:r>
      <w:proofErr w:type="spellEnd"/>
      <w:r w:rsidRPr="00285431">
        <w:rPr>
          <w:sz w:val="24"/>
          <w:szCs w:val="24"/>
        </w:rPr>
        <w:t xml:space="preserve"> con el </w:t>
      </w:r>
      <w:proofErr w:type="spellStart"/>
      <w:r w:rsidRPr="00285431">
        <w:rPr>
          <w:sz w:val="24"/>
          <w:szCs w:val="24"/>
        </w:rPr>
        <w:t>propósito</w:t>
      </w:r>
      <w:proofErr w:type="spellEnd"/>
      <w:r w:rsidRPr="00285431">
        <w:rPr>
          <w:sz w:val="24"/>
          <w:szCs w:val="24"/>
        </w:rPr>
        <w:t xml:space="preserve"> para el </w:t>
      </w:r>
      <w:proofErr w:type="spellStart"/>
      <w:r w:rsidRPr="00285431">
        <w:rPr>
          <w:sz w:val="24"/>
          <w:szCs w:val="24"/>
        </w:rPr>
        <w:t>cual</w:t>
      </w:r>
      <w:proofErr w:type="spellEnd"/>
      <w:r w:rsidRPr="00285431">
        <w:rPr>
          <w:sz w:val="24"/>
          <w:szCs w:val="24"/>
        </w:rPr>
        <w:t xml:space="preserve"> se </w:t>
      </w:r>
      <w:proofErr w:type="spellStart"/>
      <w:r w:rsidRPr="00285431">
        <w:rPr>
          <w:sz w:val="24"/>
          <w:szCs w:val="24"/>
        </w:rPr>
        <w:t>realiza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actividad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autorizada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teniendo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cuenta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estado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tecnología</w:t>
      </w:r>
      <w:proofErr w:type="spellEnd"/>
      <w:r w:rsidRPr="00285431">
        <w:rPr>
          <w:sz w:val="24"/>
          <w:szCs w:val="24"/>
        </w:rPr>
        <w:t xml:space="preserve">, la </w:t>
      </w:r>
      <w:proofErr w:type="spellStart"/>
      <w:r w:rsidRPr="00285431">
        <w:rPr>
          <w:sz w:val="24"/>
          <w:szCs w:val="24"/>
        </w:rPr>
        <w:t>economía</w:t>
      </w:r>
      <w:proofErr w:type="spellEnd"/>
      <w:r w:rsidRPr="00285431">
        <w:rPr>
          <w:sz w:val="24"/>
          <w:szCs w:val="24"/>
        </w:rPr>
        <w:t xml:space="preserve"> de las </w:t>
      </w:r>
      <w:proofErr w:type="spellStart"/>
      <w:r w:rsidRPr="00285431">
        <w:rPr>
          <w:sz w:val="24"/>
          <w:szCs w:val="24"/>
        </w:rPr>
        <w:t>mejoras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relación</w:t>
      </w:r>
      <w:proofErr w:type="spellEnd"/>
      <w:r w:rsidRPr="00285431">
        <w:rPr>
          <w:sz w:val="24"/>
          <w:szCs w:val="24"/>
        </w:rPr>
        <w:t xml:space="preserve"> con el </w:t>
      </w:r>
      <w:proofErr w:type="spellStart"/>
      <w:r w:rsidRPr="00285431">
        <w:rPr>
          <w:sz w:val="24"/>
          <w:szCs w:val="24"/>
        </w:rPr>
        <w:t>estado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tecnología</w:t>
      </w:r>
      <w:proofErr w:type="spellEnd"/>
      <w:r w:rsidRPr="00285431">
        <w:rPr>
          <w:sz w:val="24"/>
          <w:szCs w:val="24"/>
        </w:rPr>
        <w:t xml:space="preserve">, la </w:t>
      </w:r>
      <w:proofErr w:type="spellStart"/>
      <w:r w:rsidRPr="00285431">
        <w:rPr>
          <w:sz w:val="24"/>
          <w:szCs w:val="24"/>
        </w:rPr>
        <w:t>economía</w:t>
      </w:r>
      <w:proofErr w:type="spellEnd"/>
      <w:r w:rsidRPr="00285431">
        <w:rPr>
          <w:sz w:val="24"/>
          <w:szCs w:val="24"/>
        </w:rPr>
        <w:t xml:space="preserve"> de las </w:t>
      </w:r>
      <w:proofErr w:type="spellStart"/>
      <w:r w:rsidRPr="00285431">
        <w:rPr>
          <w:sz w:val="24"/>
          <w:szCs w:val="24"/>
        </w:rPr>
        <w:t>mejoras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relación</w:t>
      </w:r>
      <w:proofErr w:type="spellEnd"/>
      <w:r w:rsidRPr="00285431">
        <w:rPr>
          <w:sz w:val="24"/>
          <w:szCs w:val="24"/>
        </w:rPr>
        <w:t xml:space="preserve"> con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beneficios</w:t>
      </w:r>
      <w:proofErr w:type="spellEnd"/>
      <w:r w:rsidRPr="00285431">
        <w:rPr>
          <w:sz w:val="24"/>
          <w:szCs w:val="24"/>
        </w:rPr>
        <w:t xml:space="preserve"> para la </w:t>
      </w:r>
      <w:proofErr w:type="spellStart"/>
      <w:r w:rsidRPr="00285431">
        <w:rPr>
          <w:sz w:val="24"/>
          <w:szCs w:val="24"/>
        </w:rPr>
        <w:t>salud</w:t>
      </w:r>
      <w:proofErr w:type="spellEnd"/>
      <w:r w:rsidRPr="00285431">
        <w:rPr>
          <w:sz w:val="24"/>
          <w:szCs w:val="24"/>
        </w:rPr>
        <w:t xml:space="preserve"> y </w:t>
      </w:r>
      <w:proofErr w:type="spellStart"/>
      <w:r w:rsidRPr="00285431">
        <w:rPr>
          <w:sz w:val="24"/>
          <w:szCs w:val="24"/>
        </w:rPr>
        <w:t>seguridad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públicas</w:t>
      </w:r>
      <w:proofErr w:type="spellEnd"/>
      <w:r w:rsidRPr="00285431">
        <w:rPr>
          <w:sz w:val="24"/>
          <w:szCs w:val="24"/>
        </w:rPr>
        <w:t xml:space="preserve">, y </w:t>
      </w:r>
      <w:proofErr w:type="spellStart"/>
      <w:r w:rsidRPr="00285431">
        <w:rPr>
          <w:sz w:val="24"/>
          <w:szCs w:val="24"/>
        </w:rPr>
        <w:t>otras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consideraciones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sociales</w:t>
      </w:r>
      <w:proofErr w:type="spellEnd"/>
      <w:r w:rsidRPr="00285431">
        <w:rPr>
          <w:sz w:val="24"/>
          <w:szCs w:val="24"/>
        </w:rPr>
        <w:t xml:space="preserve"> y </w:t>
      </w:r>
      <w:proofErr w:type="spellStart"/>
      <w:r w:rsidRPr="00285431">
        <w:rPr>
          <w:sz w:val="24"/>
          <w:szCs w:val="24"/>
        </w:rPr>
        <w:t>socioeconómicas</w:t>
      </w:r>
      <w:proofErr w:type="spellEnd"/>
      <w:r w:rsidRPr="00285431">
        <w:rPr>
          <w:sz w:val="24"/>
          <w:szCs w:val="24"/>
        </w:rPr>
        <w:t xml:space="preserve">, y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relación</w:t>
      </w:r>
      <w:proofErr w:type="spellEnd"/>
      <w:r w:rsidRPr="00285431">
        <w:rPr>
          <w:sz w:val="24"/>
          <w:szCs w:val="24"/>
        </w:rPr>
        <w:t xml:space="preserve"> con la </w:t>
      </w:r>
      <w:proofErr w:type="spellStart"/>
      <w:r w:rsidRPr="00285431">
        <w:rPr>
          <w:sz w:val="24"/>
          <w:szCs w:val="24"/>
        </w:rPr>
        <w:t>utilización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energía</w:t>
      </w:r>
      <w:proofErr w:type="spellEnd"/>
      <w:r w:rsidRPr="00285431">
        <w:rPr>
          <w:sz w:val="24"/>
          <w:szCs w:val="24"/>
        </w:rPr>
        <w:t xml:space="preserve"> nuclear y </w:t>
      </w:r>
      <w:proofErr w:type="spellStart"/>
      <w:r w:rsidRPr="00285431">
        <w:rPr>
          <w:sz w:val="24"/>
          <w:szCs w:val="24"/>
        </w:rPr>
        <w:t>materiales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autorizados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interés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público</w:t>
      </w:r>
      <w:proofErr w:type="spellEnd"/>
      <w:r w:rsidRPr="00285431">
        <w:rPr>
          <w:sz w:val="24"/>
          <w:szCs w:val="24"/>
        </w:rPr>
        <w:t>.</w:t>
      </w:r>
      <w:proofErr w:type="gramEnd"/>
    </w:p>
    <w:p w:rsidR="004C3B09" w:rsidRPr="00285431" w:rsidRDefault="004C3B09" w:rsidP="004C3B09">
      <w:pPr>
        <w:rPr>
          <w:sz w:val="24"/>
          <w:szCs w:val="24"/>
        </w:rPr>
      </w:pP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1977 - ¡ALARA </w:t>
      </w:r>
      <w:proofErr w:type="gramStart"/>
      <w:r w:rsidRPr="00285431">
        <w:rPr>
          <w:sz w:val="24"/>
          <w:szCs w:val="24"/>
        </w:rPr>
        <w:t xml:space="preserve">se </w:t>
      </w:r>
      <w:proofErr w:type="spellStart"/>
      <w:r w:rsidRPr="00285431">
        <w:rPr>
          <w:sz w:val="24"/>
          <w:szCs w:val="24"/>
        </w:rPr>
        <w:t>convirtió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la ley</w:t>
      </w:r>
      <w:proofErr w:type="gramEnd"/>
      <w:r w:rsidRPr="00285431">
        <w:rPr>
          <w:sz w:val="24"/>
          <w:szCs w:val="24"/>
        </w:rPr>
        <w:t>!</w:t>
      </w: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Revisiones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completas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artículos</w:t>
      </w:r>
      <w:proofErr w:type="spellEnd"/>
      <w:r w:rsidRPr="00285431">
        <w:rPr>
          <w:sz w:val="24"/>
          <w:szCs w:val="24"/>
        </w:rPr>
        <w:t xml:space="preserve"> de ALARA (</w:t>
      </w:r>
      <w:proofErr w:type="spellStart"/>
      <w:r w:rsidRPr="00285431">
        <w:rPr>
          <w:sz w:val="24"/>
          <w:szCs w:val="24"/>
        </w:rPr>
        <w:t>ver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hoja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trabajo</w:t>
      </w:r>
      <w:proofErr w:type="spellEnd"/>
      <w:r w:rsidRPr="00285431">
        <w:rPr>
          <w:sz w:val="24"/>
          <w:szCs w:val="24"/>
        </w:rPr>
        <w:t>)</w:t>
      </w: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Con </w:t>
      </w:r>
      <w:r w:rsidRPr="00285431">
        <w:rPr>
          <w:b/>
          <w:sz w:val="24"/>
          <w:szCs w:val="24"/>
          <w:u w:val="single"/>
        </w:rPr>
        <w:t>ALARA</w:t>
      </w:r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mente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echemos</w:t>
      </w:r>
      <w:proofErr w:type="spellEnd"/>
      <w:r w:rsidRPr="00285431">
        <w:rPr>
          <w:sz w:val="24"/>
          <w:szCs w:val="24"/>
        </w:rPr>
        <w:t xml:space="preserve"> </w:t>
      </w:r>
      <w:proofErr w:type="gramStart"/>
      <w:r w:rsidRPr="00285431">
        <w:rPr>
          <w:sz w:val="24"/>
          <w:szCs w:val="24"/>
        </w:rPr>
        <w:t>un</w:t>
      </w:r>
      <w:proofErr w:type="gram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vistazo</w:t>
      </w:r>
      <w:proofErr w:type="spellEnd"/>
      <w:r w:rsidRPr="00285431">
        <w:rPr>
          <w:sz w:val="24"/>
          <w:szCs w:val="24"/>
        </w:rPr>
        <w:t xml:space="preserve"> a </w:t>
      </w:r>
      <w:proofErr w:type="spellStart"/>
      <w:r w:rsidRPr="00285431">
        <w:rPr>
          <w:b/>
          <w:sz w:val="24"/>
          <w:szCs w:val="24"/>
          <w:u w:val="single"/>
        </w:rPr>
        <w:t>Tiempo</w:t>
      </w:r>
      <w:proofErr w:type="spellEnd"/>
      <w:r w:rsidRPr="00285431">
        <w:rPr>
          <w:b/>
          <w:sz w:val="24"/>
          <w:szCs w:val="24"/>
          <w:u w:val="single"/>
        </w:rPr>
        <w:t xml:space="preserve">, </w:t>
      </w:r>
      <w:proofErr w:type="spellStart"/>
      <w:r w:rsidRPr="00285431">
        <w:rPr>
          <w:b/>
          <w:sz w:val="24"/>
          <w:szCs w:val="24"/>
          <w:u w:val="single"/>
        </w:rPr>
        <w:t>Distancia</w:t>
      </w:r>
      <w:proofErr w:type="spellEnd"/>
      <w:r w:rsidRPr="00285431">
        <w:rPr>
          <w:b/>
          <w:sz w:val="24"/>
          <w:szCs w:val="24"/>
          <w:u w:val="single"/>
        </w:rPr>
        <w:t xml:space="preserve"> y </w:t>
      </w:r>
      <w:proofErr w:type="spellStart"/>
      <w:r w:rsidRPr="00285431">
        <w:rPr>
          <w:b/>
          <w:sz w:val="24"/>
          <w:szCs w:val="24"/>
          <w:u w:val="single"/>
        </w:rPr>
        <w:t>Blindaje</w:t>
      </w:r>
      <w:proofErr w:type="spellEnd"/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El </w:t>
      </w:r>
      <w:proofErr w:type="spellStart"/>
      <w:r w:rsidRPr="00285431">
        <w:rPr>
          <w:sz w:val="24"/>
          <w:szCs w:val="24"/>
        </w:rPr>
        <w:t>concepto</w:t>
      </w:r>
      <w:proofErr w:type="spellEnd"/>
      <w:r w:rsidRPr="00285431">
        <w:rPr>
          <w:sz w:val="24"/>
          <w:szCs w:val="24"/>
        </w:rPr>
        <w:t xml:space="preserve"> y las </w:t>
      </w:r>
      <w:proofErr w:type="spellStart"/>
      <w:r w:rsidRPr="00285431">
        <w:rPr>
          <w:sz w:val="24"/>
          <w:szCs w:val="24"/>
        </w:rPr>
        <w:t>aplicaciones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prácticas</w:t>
      </w:r>
      <w:proofErr w:type="spellEnd"/>
      <w:r w:rsidRPr="00285431">
        <w:rPr>
          <w:sz w:val="24"/>
          <w:szCs w:val="24"/>
        </w:rPr>
        <w:t xml:space="preserve"> de Time, distance &amp; Shielding no son </w:t>
      </w:r>
      <w:proofErr w:type="spellStart"/>
      <w:r w:rsidRPr="00285431">
        <w:rPr>
          <w:sz w:val="24"/>
          <w:szCs w:val="24"/>
        </w:rPr>
        <w:t>demasiado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complicados</w:t>
      </w:r>
      <w:proofErr w:type="spellEnd"/>
      <w:r w:rsidRPr="00285431">
        <w:rPr>
          <w:sz w:val="24"/>
          <w:szCs w:val="24"/>
        </w:rPr>
        <w:t xml:space="preserve"> y </w:t>
      </w:r>
      <w:proofErr w:type="spellStart"/>
      <w:r w:rsidRPr="00285431">
        <w:rPr>
          <w:sz w:val="24"/>
          <w:szCs w:val="24"/>
        </w:rPr>
        <w:t>tienen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sentido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cuando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protegemos</w:t>
      </w:r>
      <w:proofErr w:type="spellEnd"/>
      <w:r w:rsidRPr="00285431">
        <w:rPr>
          <w:sz w:val="24"/>
          <w:szCs w:val="24"/>
        </w:rPr>
        <w:t xml:space="preserve"> al </w:t>
      </w:r>
      <w:proofErr w:type="spellStart"/>
      <w:r w:rsidRPr="00285431">
        <w:rPr>
          <w:sz w:val="24"/>
          <w:szCs w:val="24"/>
        </w:rPr>
        <w:t>público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ya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nosotros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mismos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sobreexposición</w:t>
      </w:r>
      <w:proofErr w:type="spellEnd"/>
      <w:r w:rsidRPr="00285431">
        <w:rPr>
          <w:sz w:val="24"/>
          <w:szCs w:val="24"/>
        </w:rPr>
        <w:t xml:space="preserve"> a la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. </w:t>
      </w:r>
      <w:proofErr w:type="spellStart"/>
      <w:r w:rsidRPr="00285431">
        <w:rPr>
          <w:sz w:val="24"/>
          <w:szCs w:val="24"/>
        </w:rPr>
        <w:t>Tómese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unos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minutos</w:t>
      </w:r>
      <w:proofErr w:type="spellEnd"/>
      <w:r w:rsidRPr="00285431">
        <w:rPr>
          <w:sz w:val="24"/>
          <w:szCs w:val="24"/>
        </w:rPr>
        <w:t xml:space="preserve"> para leer la </w:t>
      </w:r>
      <w:proofErr w:type="spellStart"/>
      <w:r w:rsidRPr="00285431">
        <w:rPr>
          <w:sz w:val="24"/>
          <w:szCs w:val="24"/>
        </w:rPr>
        <w:t>siguiente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explicación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sitio</w:t>
      </w:r>
      <w:proofErr w:type="spellEnd"/>
      <w:r w:rsidRPr="00285431">
        <w:rPr>
          <w:sz w:val="24"/>
          <w:szCs w:val="24"/>
        </w:rPr>
        <w:t xml:space="preserve"> web de la NRC y </w:t>
      </w:r>
      <w:proofErr w:type="spellStart"/>
      <w:r w:rsidRPr="00285431">
        <w:rPr>
          <w:sz w:val="24"/>
          <w:szCs w:val="24"/>
        </w:rPr>
        <w:t>luego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escriba</w:t>
      </w:r>
      <w:proofErr w:type="spellEnd"/>
      <w:r w:rsidRPr="00285431">
        <w:rPr>
          <w:sz w:val="24"/>
          <w:szCs w:val="24"/>
        </w:rPr>
        <w:t xml:space="preserve"> </w:t>
      </w:r>
      <w:proofErr w:type="gramStart"/>
      <w:r w:rsidRPr="00285431">
        <w:rPr>
          <w:sz w:val="24"/>
          <w:szCs w:val="24"/>
        </w:rPr>
        <w:t>un</w:t>
      </w:r>
      <w:proofErr w:type="gramEnd"/>
      <w:r w:rsidRPr="00285431">
        <w:rPr>
          <w:sz w:val="24"/>
          <w:szCs w:val="24"/>
        </w:rPr>
        <w:t xml:space="preserve"> breve </w:t>
      </w:r>
      <w:proofErr w:type="spellStart"/>
      <w:r w:rsidRPr="00285431">
        <w:rPr>
          <w:sz w:val="24"/>
          <w:szCs w:val="24"/>
        </w:rPr>
        <w:t>resumen</w:t>
      </w:r>
      <w:proofErr w:type="spellEnd"/>
      <w:r w:rsidRPr="00285431">
        <w:rPr>
          <w:sz w:val="24"/>
          <w:szCs w:val="24"/>
        </w:rPr>
        <w:t xml:space="preserve"> de lo que </w:t>
      </w:r>
      <w:proofErr w:type="spellStart"/>
      <w:r w:rsidRPr="00285431">
        <w:rPr>
          <w:sz w:val="24"/>
          <w:szCs w:val="24"/>
        </w:rPr>
        <w:t>cree</w:t>
      </w:r>
      <w:proofErr w:type="spellEnd"/>
      <w:r w:rsidRPr="00285431">
        <w:rPr>
          <w:sz w:val="24"/>
          <w:szCs w:val="24"/>
        </w:rPr>
        <w:t xml:space="preserve"> que son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puntos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principales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que la NRC </w:t>
      </w:r>
      <w:proofErr w:type="spellStart"/>
      <w:r w:rsidRPr="00285431">
        <w:rPr>
          <w:sz w:val="24"/>
          <w:szCs w:val="24"/>
        </w:rPr>
        <w:t>quiere</w:t>
      </w:r>
      <w:proofErr w:type="spellEnd"/>
      <w:r w:rsidRPr="00285431">
        <w:rPr>
          <w:sz w:val="24"/>
          <w:szCs w:val="24"/>
        </w:rPr>
        <w:t xml:space="preserve"> que </w:t>
      </w:r>
      <w:proofErr w:type="spellStart"/>
      <w:r w:rsidRPr="00285431">
        <w:rPr>
          <w:sz w:val="24"/>
          <w:szCs w:val="24"/>
        </w:rPr>
        <w:t>usted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como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radiógrafo</w:t>
      </w:r>
      <w:proofErr w:type="spellEnd"/>
      <w:r w:rsidRPr="00285431">
        <w:rPr>
          <w:sz w:val="24"/>
          <w:szCs w:val="24"/>
        </w:rPr>
        <w:t>, se "</w:t>
      </w:r>
      <w:proofErr w:type="spellStart"/>
      <w:r w:rsidRPr="00285431">
        <w:rPr>
          <w:sz w:val="24"/>
          <w:szCs w:val="24"/>
        </w:rPr>
        <w:t>lleve</w:t>
      </w:r>
      <w:proofErr w:type="spellEnd"/>
      <w:r w:rsidRPr="00285431">
        <w:rPr>
          <w:sz w:val="24"/>
          <w:szCs w:val="24"/>
        </w:rPr>
        <w:t xml:space="preserve">" de </w:t>
      </w:r>
      <w:proofErr w:type="spellStart"/>
      <w:r w:rsidRPr="00285431">
        <w:rPr>
          <w:sz w:val="24"/>
          <w:szCs w:val="24"/>
        </w:rPr>
        <w:t>su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información</w:t>
      </w:r>
      <w:proofErr w:type="spellEnd"/>
      <w:r w:rsidRPr="00285431">
        <w:rPr>
          <w:sz w:val="24"/>
          <w:szCs w:val="24"/>
        </w:rPr>
        <w:t>.</w:t>
      </w:r>
    </w:p>
    <w:p w:rsidR="004C3B09" w:rsidRPr="00285431" w:rsidRDefault="00285431" w:rsidP="004C3B09">
      <w:pPr>
        <w:rPr>
          <w:sz w:val="24"/>
          <w:szCs w:val="24"/>
        </w:rPr>
      </w:pPr>
      <w:hyperlink r:id="rId6" w:history="1">
        <w:r w:rsidRPr="004B26A3">
          <w:rPr>
            <w:rStyle w:val="Hyperlink"/>
            <w:sz w:val="24"/>
            <w:szCs w:val="24"/>
          </w:rPr>
          <w:t>https://www.nrc.gov/about-nrc/radiation/protects-you/protection-principles.html#tds</w:t>
        </w:r>
      </w:hyperlink>
      <w:r>
        <w:rPr>
          <w:sz w:val="24"/>
          <w:szCs w:val="24"/>
        </w:rPr>
        <w:t xml:space="preserve"> </w:t>
      </w:r>
    </w:p>
    <w:p w:rsidR="004C3B09" w:rsidRPr="00285431" w:rsidRDefault="004C3B09" w:rsidP="004C3B09">
      <w:pPr>
        <w:rPr>
          <w:b/>
          <w:sz w:val="24"/>
          <w:szCs w:val="24"/>
          <w:u w:val="single"/>
        </w:rPr>
      </w:pPr>
      <w:proofErr w:type="spellStart"/>
      <w:r w:rsidRPr="00285431">
        <w:rPr>
          <w:b/>
          <w:sz w:val="24"/>
          <w:szCs w:val="24"/>
          <w:u w:val="single"/>
        </w:rPr>
        <w:t>Resumen</w:t>
      </w:r>
      <w:proofErr w:type="spellEnd"/>
      <w:r w:rsidRPr="00285431">
        <w:rPr>
          <w:b/>
          <w:sz w:val="24"/>
          <w:szCs w:val="24"/>
          <w:u w:val="single"/>
        </w:rPr>
        <w:t>:</w:t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lastRenderedPageBreak/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  <w:r w:rsidR="00285431">
        <w:rPr>
          <w:b/>
          <w:sz w:val="24"/>
          <w:szCs w:val="24"/>
          <w:u w:val="single"/>
        </w:rPr>
        <w:tab/>
      </w: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b/>
          <w:sz w:val="24"/>
          <w:szCs w:val="24"/>
          <w:u w:val="single"/>
        </w:rPr>
        <w:t>Matemáticas</w:t>
      </w:r>
      <w:proofErr w:type="spellEnd"/>
      <w:r w:rsidRPr="00285431">
        <w:rPr>
          <w:b/>
          <w:sz w:val="24"/>
          <w:szCs w:val="24"/>
          <w:u w:val="single"/>
        </w:rPr>
        <w:t>:</w:t>
      </w:r>
      <w:r w:rsidRPr="00285431">
        <w:rPr>
          <w:sz w:val="24"/>
          <w:szCs w:val="24"/>
        </w:rPr>
        <w:t xml:space="preserve"> ... y las </w:t>
      </w:r>
      <w:proofErr w:type="spellStart"/>
      <w:r w:rsidRPr="00285431">
        <w:rPr>
          <w:sz w:val="24"/>
          <w:szCs w:val="24"/>
        </w:rPr>
        <w:t>matemáticas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nos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ayudan</w:t>
      </w:r>
      <w:proofErr w:type="spellEnd"/>
      <w:r w:rsidRPr="00285431">
        <w:rPr>
          <w:sz w:val="24"/>
          <w:szCs w:val="24"/>
        </w:rPr>
        <w:t xml:space="preserve"> a </w:t>
      </w:r>
      <w:proofErr w:type="spellStart"/>
      <w:r w:rsidRPr="00285431">
        <w:rPr>
          <w:sz w:val="24"/>
          <w:szCs w:val="24"/>
        </w:rPr>
        <w:t>determinar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cuándo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hemos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conocido</w:t>
      </w:r>
      <w:proofErr w:type="spellEnd"/>
      <w:r w:rsidRPr="00285431">
        <w:rPr>
          <w:sz w:val="24"/>
          <w:szCs w:val="24"/>
        </w:rPr>
        <w:t xml:space="preserve"> </w:t>
      </w:r>
      <w:proofErr w:type="gramStart"/>
      <w:r w:rsidRPr="00285431">
        <w:rPr>
          <w:sz w:val="24"/>
          <w:szCs w:val="24"/>
        </w:rPr>
        <w:t>a</w:t>
      </w:r>
      <w:proofErr w:type="gramEnd"/>
      <w:r w:rsidRPr="00285431">
        <w:rPr>
          <w:sz w:val="24"/>
          <w:szCs w:val="24"/>
        </w:rPr>
        <w:t xml:space="preserve"> ALARA. Los </w:t>
      </w:r>
      <w:proofErr w:type="spellStart"/>
      <w:r w:rsidRPr="00285431">
        <w:rPr>
          <w:sz w:val="24"/>
          <w:szCs w:val="24"/>
        </w:rPr>
        <w:t>radiógrafos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usan</w:t>
      </w:r>
      <w:proofErr w:type="spellEnd"/>
      <w:r w:rsidRPr="00285431">
        <w:rPr>
          <w:sz w:val="24"/>
          <w:szCs w:val="24"/>
        </w:rPr>
        <w:t xml:space="preserve"> las </w:t>
      </w:r>
      <w:proofErr w:type="spellStart"/>
      <w:r w:rsidRPr="00285431">
        <w:rPr>
          <w:sz w:val="24"/>
          <w:szCs w:val="24"/>
        </w:rPr>
        <w:t>leyes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ciencia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física</w:t>
      </w:r>
      <w:proofErr w:type="spellEnd"/>
      <w:r w:rsidRPr="00285431">
        <w:rPr>
          <w:sz w:val="24"/>
          <w:szCs w:val="24"/>
        </w:rPr>
        <w:t xml:space="preserve"> junto con las </w:t>
      </w:r>
      <w:proofErr w:type="spellStart"/>
      <w:r w:rsidRPr="00285431">
        <w:rPr>
          <w:sz w:val="24"/>
          <w:szCs w:val="24"/>
        </w:rPr>
        <w:t>matemáticas</w:t>
      </w:r>
      <w:proofErr w:type="spellEnd"/>
      <w:r w:rsidRPr="00285431">
        <w:rPr>
          <w:sz w:val="24"/>
          <w:szCs w:val="24"/>
        </w:rPr>
        <w:t xml:space="preserve"> para </w:t>
      </w:r>
      <w:proofErr w:type="spellStart"/>
      <w:r w:rsidRPr="00285431">
        <w:rPr>
          <w:sz w:val="24"/>
          <w:szCs w:val="24"/>
        </w:rPr>
        <w:t>mantener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su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exposición</w:t>
      </w:r>
      <w:proofErr w:type="spellEnd"/>
      <w:r w:rsidRPr="00285431">
        <w:rPr>
          <w:sz w:val="24"/>
          <w:szCs w:val="24"/>
        </w:rPr>
        <w:t xml:space="preserve"> a la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 "Tan </w:t>
      </w:r>
      <w:proofErr w:type="spellStart"/>
      <w:r w:rsidRPr="00285431">
        <w:rPr>
          <w:sz w:val="24"/>
          <w:szCs w:val="24"/>
        </w:rPr>
        <w:t>bajo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como</w:t>
      </w:r>
      <w:proofErr w:type="spellEnd"/>
      <w:r w:rsidRPr="00285431">
        <w:rPr>
          <w:sz w:val="24"/>
          <w:szCs w:val="24"/>
        </w:rPr>
        <w:t xml:space="preserve"> sea </w:t>
      </w:r>
      <w:proofErr w:type="spellStart"/>
      <w:r w:rsidRPr="00285431">
        <w:rPr>
          <w:sz w:val="24"/>
          <w:szCs w:val="24"/>
        </w:rPr>
        <w:t>razonable</w:t>
      </w:r>
      <w:proofErr w:type="spellEnd"/>
      <w:r w:rsidRPr="00285431">
        <w:rPr>
          <w:sz w:val="24"/>
          <w:szCs w:val="24"/>
        </w:rPr>
        <w:t>."</w:t>
      </w:r>
    </w:p>
    <w:p w:rsidR="004C3B09" w:rsidRPr="00285431" w:rsidRDefault="004C3B09" w:rsidP="004C3B09">
      <w:pPr>
        <w:rPr>
          <w:sz w:val="24"/>
          <w:szCs w:val="24"/>
        </w:rPr>
      </w:pP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> </w:t>
      </w: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Los </w:t>
      </w:r>
      <w:proofErr w:type="spellStart"/>
      <w:r w:rsidRPr="00285431">
        <w:rPr>
          <w:sz w:val="24"/>
          <w:szCs w:val="24"/>
        </w:rPr>
        <w:t>radiógrafos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usan</w:t>
      </w:r>
      <w:proofErr w:type="spellEnd"/>
      <w:r w:rsidRPr="00285431">
        <w:rPr>
          <w:sz w:val="24"/>
          <w:szCs w:val="24"/>
        </w:rPr>
        <w:t xml:space="preserve"> la ley </w:t>
      </w:r>
      <w:proofErr w:type="gramStart"/>
      <w:r w:rsidRPr="00285431">
        <w:rPr>
          <w:sz w:val="24"/>
          <w:szCs w:val="24"/>
        </w:rPr>
        <w:t>del</w:t>
      </w:r>
      <w:proofErr w:type="gram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cuadrado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inverso</w:t>
      </w:r>
      <w:proofErr w:type="spellEnd"/>
      <w:r w:rsidRPr="00285431">
        <w:rPr>
          <w:sz w:val="24"/>
          <w:szCs w:val="24"/>
        </w:rPr>
        <w:t xml:space="preserve"> para resolver DISTANCIAS (d) </w:t>
      </w:r>
      <w:proofErr w:type="spellStart"/>
      <w:r w:rsidRPr="00285431">
        <w:rPr>
          <w:sz w:val="24"/>
          <w:szCs w:val="24"/>
        </w:rPr>
        <w:t>seguras</w:t>
      </w:r>
      <w:proofErr w:type="spellEnd"/>
      <w:r w:rsidRPr="00285431">
        <w:rPr>
          <w:sz w:val="24"/>
          <w:szCs w:val="24"/>
        </w:rPr>
        <w:t xml:space="preserve"> y para resolver la INTENSIDAD (I) de la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. </w:t>
      </w:r>
      <w:proofErr w:type="spellStart"/>
      <w:r w:rsidRPr="00285431">
        <w:rPr>
          <w:sz w:val="24"/>
          <w:szCs w:val="24"/>
        </w:rPr>
        <w:t>Piense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seguridad</w:t>
      </w:r>
      <w:proofErr w:type="spellEnd"/>
      <w:r w:rsidRPr="00285431">
        <w:rPr>
          <w:sz w:val="24"/>
          <w:szCs w:val="24"/>
        </w:rPr>
        <w:t xml:space="preserve">. </w:t>
      </w:r>
      <w:proofErr w:type="spellStart"/>
      <w:r w:rsidRPr="00285431">
        <w:rPr>
          <w:sz w:val="24"/>
          <w:szCs w:val="24"/>
        </w:rPr>
        <w:t>Piensa</w:t>
      </w:r>
      <w:proofErr w:type="spellEnd"/>
      <w:r w:rsidRPr="00285431">
        <w:rPr>
          <w:sz w:val="24"/>
          <w:szCs w:val="24"/>
        </w:rPr>
        <w:t xml:space="preserve">: </w:t>
      </w:r>
      <w:proofErr w:type="spellStart"/>
      <w:r w:rsidRPr="00285431">
        <w:rPr>
          <w:sz w:val="24"/>
          <w:szCs w:val="24"/>
        </w:rPr>
        <w:t>Tiempo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Distancia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Blindaje</w:t>
      </w:r>
      <w:proofErr w:type="spellEnd"/>
    </w:p>
    <w:p w:rsidR="004C3B09" w:rsidRPr="00285431" w:rsidRDefault="004C3B09" w:rsidP="004C3B09">
      <w:pPr>
        <w:rPr>
          <w:sz w:val="24"/>
          <w:szCs w:val="24"/>
        </w:rPr>
      </w:pP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Veamos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ejemplos</w:t>
      </w:r>
      <w:proofErr w:type="spellEnd"/>
      <w:r w:rsidRPr="00285431">
        <w:rPr>
          <w:sz w:val="24"/>
          <w:szCs w:val="24"/>
        </w:rPr>
        <w:t xml:space="preserve"> de la NRC de </w:t>
      </w:r>
      <w:proofErr w:type="spellStart"/>
      <w:r w:rsidRPr="00285431">
        <w:rPr>
          <w:sz w:val="24"/>
          <w:szCs w:val="24"/>
        </w:rPr>
        <w:t>cómo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radiógrafos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aplican</w:t>
      </w:r>
      <w:proofErr w:type="spellEnd"/>
      <w:r w:rsidRPr="00285431">
        <w:rPr>
          <w:sz w:val="24"/>
          <w:szCs w:val="24"/>
        </w:rPr>
        <w:t xml:space="preserve"> la Ley del </w:t>
      </w:r>
      <w:proofErr w:type="spellStart"/>
      <w:r w:rsidRPr="00285431">
        <w:rPr>
          <w:sz w:val="24"/>
          <w:szCs w:val="24"/>
        </w:rPr>
        <w:t>cuadrado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inverso</w:t>
      </w:r>
      <w:proofErr w:type="spellEnd"/>
      <w:r w:rsidRPr="00285431">
        <w:rPr>
          <w:sz w:val="24"/>
          <w:szCs w:val="24"/>
        </w:rPr>
        <w:t xml:space="preserve"> para </w:t>
      </w:r>
      <w:proofErr w:type="spellStart"/>
      <w:r w:rsidRPr="00285431">
        <w:rPr>
          <w:sz w:val="24"/>
          <w:szCs w:val="24"/>
        </w:rPr>
        <w:t>calcular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dosis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>.</w:t>
      </w:r>
    </w:p>
    <w:p w:rsidR="004C3B09" w:rsidRPr="00285431" w:rsidRDefault="00285431" w:rsidP="004C3B09">
      <w:pPr>
        <w:rPr>
          <w:sz w:val="24"/>
          <w:szCs w:val="24"/>
        </w:rPr>
      </w:pPr>
      <w:hyperlink r:id="rId7" w:history="1">
        <w:r w:rsidRPr="004B26A3">
          <w:rPr>
            <w:rStyle w:val="Hyperlink"/>
            <w:sz w:val="24"/>
            <w:szCs w:val="24"/>
          </w:rPr>
          <w:t>https://www.nrc.gov/docs/ML1121/ML11210B521.pdf</w:t>
        </w:r>
      </w:hyperlink>
      <w:r>
        <w:rPr>
          <w:sz w:val="24"/>
          <w:szCs w:val="24"/>
        </w:rPr>
        <w:t xml:space="preserve"> </w:t>
      </w:r>
    </w:p>
    <w:p w:rsidR="004C3B09" w:rsidRPr="00285431" w:rsidRDefault="004C3B09" w:rsidP="004C3B09">
      <w:pPr>
        <w:rPr>
          <w:sz w:val="24"/>
          <w:szCs w:val="24"/>
        </w:rPr>
      </w:pPr>
      <w:r w:rsidRPr="00285431">
        <w:rPr>
          <w:sz w:val="24"/>
          <w:szCs w:val="24"/>
        </w:rPr>
        <w:t xml:space="preserve">Para </w:t>
      </w:r>
      <w:proofErr w:type="spellStart"/>
      <w:r w:rsidRPr="00285431">
        <w:rPr>
          <w:sz w:val="24"/>
          <w:szCs w:val="24"/>
        </w:rPr>
        <w:t>desglosar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aún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más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esta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fórmula</w:t>
      </w:r>
      <w:proofErr w:type="spellEnd"/>
      <w:r w:rsidRPr="00285431">
        <w:rPr>
          <w:sz w:val="24"/>
          <w:szCs w:val="24"/>
        </w:rPr>
        <w:t xml:space="preserve"> para </w:t>
      </w:r>
      <w:proofErr w:type="spellStart"/>
      <w:r w:rsidRPr="00285431">
        <w:rPr>
          <w:sz w:val="24"/>
          <w:szCs w:val="24"/>
        </w:rPr>
        <w:t>determinar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distancia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proofErr w:type="gramStart"/>
      <w:r w:rsidRPr="00285431">
        <w:rPr>
          <w:sz w:val="24"/>
          <w:szCs w:val="24"/>
        </w:rPr>
        <w:t>segura</w:t>
      </w:r>
      <w:proofErr w:type="spellEnd"/>
      <w:proofErr w:type="gramEnd"/>
      <w:r w:rsidRPr="00285431">
        <w:rPr>
          <w:sz w:val="24"/>
          <w:szCs w:val="24"/>
        </w:rPr>
        <w:t xml:space="preserve"> y las </w:t>
      </w:r>
      <w:proofErr w:type="spellStart"/>
      <w:r w:rsidRPr="00285431">
        <w:rPr>
          <w:sz w:val="24"/>
          <w:szCs w:val="24"/>
        </w:rPr>
        <w:t>intensidades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seguras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dedicaremos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más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tiempo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más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tarde</w:t>
      </w:r>
      <w:proofErr w:type="spellEnd"/>
      <w:r w:rsidRPr="00285431">
        <w:rPr>
          <w:sz w:val="24"/>
          <w:szCs w:val="24"/>
        </w:rPr>
        <w:t xml:space="preserve"> a </w:t>
      </w:r>
      <w:proofErr w:type="spellStart"/>
      <w:r w:rsidRPr="00285431">
        <w:rPr>
          <w:sz w:val="24"/>
          <w:szCs w:val="24"/>
        </w:rPr>
        <w:t>practicar</w:t>
      </w:r>
      <w:proofErr w:type="spellEnd"/>
      <w:r w:rsidRPr="00285431">
        <w:rPr>
          <w:sz w:val="24"/>
          <w:szCs w:val="24"/>
        </w:rPr>
        <w:t xml:space="preserve"> las </w:t>
      </w:r>
      <w:proofErr w:type="spellStart"/>
      <w:r w:rsidRPr="00285431">
        <w:rPr>
          <w:sz w:val="24"/>
          <w:szCs w:val="24"/>
        </w:rPr>
        <w:t>matemáticas</w:t>
      </w:r>
      <w:proofErr w:type="spellEnd"/>
      <w:r w:rsidRPr="00285431">
        <w:rPr>
          <w:sz w:val="24"/>
          <w:szCs w:val="24"/>
        </w:rPr>
        <w:t>.</w:t>
      </w:r>
    </w:p>
    <w:p w:rsidR="004C3B09" w:rsidRPr="00285431" w:rsidRDefault="004C3B09" w:rsidP="004C3B09">
      <w:pPr>
        <w:rPr>
          <w:sz w:val="24"/>
          <w:szCs w:val="24"/>
        </w:rPr>
      </w:pPr>
      <w:proofErr w:type="spellStart"/>
      <w:proofErr w:type="gramStart"/>
      <w:r w:rsidRPr="00285431">
        <w:rPr>
          <w:sz w:val="24"/>
          <w:szCs w:val="24"/>
        </w:rPr>
        <w:t>Una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herramienta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matemática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más</w:t>
      </w:r>
      <w:proofErr w:type="spellEnd"/>
      <w:r w:rsidRPr="00285431">
        <w:rPr>
          <w:sz w:val="24"/>
          <w:szCs w:val="24"/>
        </w:rPr>
        <w:t xml:space="preserve"> que </w:t>
      </w:r>
      <w:proofErr w:type="spellStart"/>
      <w:r w:rsidRPr="00285431">
        <w:rPr>
          <w:sz w:val="24"/>
          <w:szCs w:val="24"/>
        </w:rPr>
        <w:t>utilizan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los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radiólogos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su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tiempo</w:t>
      </w:r>
      <w:proofErr w:type="spellEnd"/>
      <w:r w:rsidRPr="00285431">
        <w:rPr>
          <w:sz w:val="24"/>
          <w:szCs w:val="24"/>
        </w:rPr>
        <w:t xml:space="preserve">, </w:t>
      </w:r>
      <w:proofErr w:type="spellStart"/>
      <w:r w:rsidRPr="00285431">
        <w:rPr>
          <w:sz w:val="24"/>
          <w:szCs w:val="24"/>
        </w:rPr>
        <w:t>distancia</w:t>
      </w:r>
      <w:proofErr w:type="spellEnd"/>
      <w:r w:rsidRPr="00285431">
        <w:rPr>
          <w:sz w:val="24"/>
          <w:szCs w:val="24"/>
        </w:rPr>
        <w:t xml:space="preserve">, la </w:t>
      </w:r>
      <w:proofErr w:type="spellStart"/>
      <w:r w:rsidRPr="00285431">
        <w:rPr>
          <w:sz w:val="24"/>
          <w:szCs w:val="24"/>
        </w:rPr>
        <w:t>caja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herramientas</w:t>
      </w:r>
      <w:proofErr w:type="spellEnd"/>
      <w:r w:rsidRPr="00285431">
        <w:rPr>
          <w:sz w:val="24"/>
          <w:szCs w:val="24"/>
        </w:rPr>
        <w:t xml:space="preserve"> SHIELDING </w:t>
      </w:r>
      <w:proofErr w:type="spellStart"/>
      <w:r w:rsidRPr="00285431">
        <w:rPr>
          <w:sz w:val="24"/>
          <w:szCs w:val="24"/>
        </w:rPr>
        <w:t>es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una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fórmula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protección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conocida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como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fórmula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capa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medio</w:t>
      </w:r>
      <w:proofErr w:type="spellEnd"/>
      <w:r w:rsidRPr="00285431">
        <w:rPr>
          <w:sz w:val="24"/>
          <w:szCs w:val="24"/>
        </w:rPr>
        <w:t xml:space="preserve"> valor que </w:t>
      </w:r>
      <w:proofErr w:type="spellStart"/>
      <w:r w:rsidRPr="00285431">
        <w:rPr>
          <w:sz w:val="24"/>
          <w:szCs w:val="24"/>
        </w:rPr>
        <w:t>calcula</w:t>
      </w:r>
      <w:proofErr w:type="spellEnd"/>
      <w:r w:rsidRPr="00285431">
        <w:rPr>
          <w:sz w:val="24"/>
          <w:szCs w:val="24"/>
        </w:rPr>
        <w:t xml:space="preserve"> el </w:t>
      </w:r>
      <w:proofErr w:type="spellStart"/>
      <w:r w:rsidRPr="00285431">
        <w:rPr>
          <w:sz w:val="24"/>
          <w:szCs w:val="24"/>
        </w:rPr>
        <w:t>grosor</w:t>
      </w:r>
      <w:proofErr w:type="spellEnd"/>
      <w:r w:rsidRPr="00285431">
        <w:rPr>
          <w:sz w:val="24"/>
          <w:szCs w:val="24"/>
        </w:rPr>
        <w:t xml:space="preserve"> y la </w:t>
      </w:r>
      <w:proofErr w:type="spellStart"/>
      <w:r w:rsidRPr="00285431">
        <w:rPr>
          <w:sz w:val="24"/>
          <w:szCs w:val="24"/>
        </w:rPr>
        <w:t>cantidad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capas</w:t>
      </w:r>
      <w:proofErr w:type="spellEnd"/>
      <w:r w:rsidRPr="00285431">
        <w:rPr>
          <w:sz w:val="24"/>
          <w:szCs w:val="24"/>
        </w:rPr>
        <w:t xml:space="preserve"> de un material de </w:t>
      </w:r>
      <w:proofErr w:type="spellStart"/>
      <w:r w:rsidRPr="00285431">
        <w:rPr>
          <w:sz w:val="24"/>
          <w:szCs w:val="24"/>
        </w:rPr>
        <w:t>protección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requerido</w:t>
      </w:r>
      <w:proofErr w:type="spellEnd"/>
      <w:r w:rsidRPr="00285431">
        <w:rPr>
          <w:sz w:val="24"/>
          <w:szCs w:val="24"/>
        </w:rPr>
        <w:t xml:space="preserve"> para </w:t>
      </w:r>
      <w:proofErr w:type="spellStart"/>
      <w:r w:rsidRPr="00285431">
        <w:rPr>
          <w:sz w:val="24"/>
          <w:szCs w:val="24"/>
        </w:rPr>
        <w:t>reducir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intensidad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 a </w:t>
      </w:r>
      <w:proofErr w:type="spellStart"/>
      <w:r w:rsidRPr="00285431">
        <w:rPr>
          <w:sz w:val="24"/>
          <w:szCs w:val="24"/>
        </w:rPr>
        <w:t>una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tasa</w:t>
      </w:r>
      <w:proofErr w:type="spellEnd"/>
      <w:r w:rsidRPr="00285431">
        <w:rPr>
          <w:sz w:val="24"/>
          <w:szCs w:val="24"/>
        </w:rPr>
        <w:t xml:space="preserve"> de </w:t>
      </w:r>
      <w:proofErr w:type="spellStart"/>
      <w:r w:rsidRPr="00285431">
        <w:rPr>
          <w:sz w:val="24"/>
          <w:szCs w:val="24"/>
        </w:rPr>
        <w:t>dosis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segura</w:t>
      </w:r>
      <w:proofErr w:type="spellEnd"/>
      <w:r w:rsidRPr="00285431">
        <w:rPr>
          <w:sz w:val="24"/>
          <w:szCs w:val="24"/>
        </w:rPr>
        <w:t xml:space="preserve"> (2 </w:t>
      </w:r>
      <w:proofErr w:type="spellStart"/>
      <w:r w:rsidRPr="00285431">
        <w:rPr>
          <w:sz w:val="24"/>
          <w:szCs w:val="24"/>
        </w:rPr>
        <w:t>mR</w:t>
      </w:r>
      <w:proofErr w:type="spellEnd"/>
      <w:r w:rsidRPr="00285431">
        <w:rPr>
          <w:sz w:val="24"/>
          <w:szCs w:val="24"/>
        </w:rPr>
        <w:t xml:space="preserve"> / </w:t>
      </w:r>
      <w:proofErr w:type="spellStart"/>
      <w:r w:rsidRPr="00285431">
        <w:rPr>
          <w:sz w:val="24"/>
          <w:szCs w:val="24"/>
        </w:rPr>
        <w:t>hr</w:t>
      </w:r>
      <w:proofErr w:type="spellEnd"/>
      <w:r w:rsidRPr="00285431">
        <w:rPr>
          <w:sz w:val="24"/>
          <w:szCs w:val="24"/>
        </w:rPr>
        <w:t xml:space="preserve">) la </w:t>
      </w:r>
      <w:proofErr w:type="spellStart"/>
      <w:r w:rsidRPr="00285431">
        <w:rPr>
          <w:sz w:val="24"/>
          <w:szCs w:val="24"/>
        </w:rPr>
        <w:t>fórmula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es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siguiente</w:t>
      </w:r>
      <w:proofErr w:type="spellEnd"/>
      <w:r w:rsidRPr="00285431">
        <w:rPr>
          <w:sz w:val="24"/>
          <w:szCs w:val="24"/>
        </w:rPr>
        <w:t>:</w:t>
      </w:r>
      <w:proofErr w:type="gramEnd"/>
    </w:p>
    <w:p w:rsidR="00285431" w:rsidRDefault="004C3B09" w:rsidP="004C3B09">
      <w:pPr>
        <w:rPr>
          <w:sz w:val="24"/>
          <w:szCs w:val="24"/>
        </w:rPr>
      </w:pPr>
      <w:r w:rsidRPr="00285431">
        <w:rPr>
          <w:b/>
          <w:sz w:val="24"/>
          <w:szCs w:val="24"/>
          <w:u w:val="single"/>
        </w:rPr>
        <w:t>Half Value Layer (HVL):</w:t>
      </w:r>
      <w:r w:rsidR="00285431">
        <w:rPr>
          <w:b/>
          <w:sz w:val="24"/>
          <w:szCs w:val="24"/>
          <w:u w:val="single"/>
        </w:rPr>
        <w:t xml:space="preserve"> </w:t>
      </w:r>
      <w:r w:rsidR="00285431">
        <w:rPr>
          <w:sz w:val="24"/>
          <w:szCs w:val="24"/>
        </w:rPr>
        <w:t xml:space="preserve">      </w:t>
      </w:r>
    </w:p>
    <w:p w:rsidR="00285431" w:rsidRPr="00285431" w:rsidRDefault="00285431" w:rsidP="00285431">
      <w:pPr>
        <w:rPr>
          <w:rFonts w:eastAsiaTheme="minorEastAsia"/>
          <w:b/>
          <w:sz w:val="32"/>
          <w:szCs w:val="32"/>
        </w:rPr>
      </w:pPr>
      <w:r>
        <w:rPr>
          <w:sz w:val="24"/>
          <w:szCs w:val="24"/>
        </w:rPr>
        <w:t xml:space="preserve">    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HVL=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LOG [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o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]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LOG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               </w:t>
      </w:r>
      <w:r w:rsidRPr="00285431">
        <w:rPr>
          <w:rFonts w:eastAsiaTheme="minorEastAsia"/>
          <w:b/>
          <w:sz w:val="32"/>
          <w:szCs w:val="32"/>
        </w:rPr>
        <w:t>I</w:t>
      </w:r>
      <w:r w:rsidRPr="00285431">
        <w:rPr>
          <w:rFonts w:eastAsiaTheme="minorEastAsia"/>
          <w:b/>
          <w:sz w:val="32"/>
          <w:szCs w:val="32"/>
          <w:vertAlign w:val="subscript"/>
        </w:rPr>
        <w:t>o</w:t>
      </w:r>
      <w:r w:rsidRPr="00285431">
        <w:rPr>
          <w:rFonts w:eastAsiaTheme="minorEastAsia"/>
          <w:b/>
          <w:sz w:val="32"/>
          <w:szCs w:val="32"/>
        </w:rPr>
        <w:t xml:space="preserve"> = Original Intensity</w:t>
      </w:r>
    </w:p>
    <w:p w:rsidR="00285431" w:rsidRPr="00285431" w:rsidRDefault="00285431" w:rsidP="00285431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                                   </w:t>
      </w:r>
      <w:r w:rsidRPr="00285431">
        <w:rPr>
          <w:rFonts w:eastAsiaTheme="minorEastAsia"/>
          <w:b/>
          <w:sz w:val="32"/>
          <w:szCs w:val="32"/>
        </w:rPr>
        <w:t>I</w:t>
      </w:r>
      <w:r w:rsidRPr="00285431">
        <w:rPr>
          <w:rFonts w:eastAsiaTheme="minorEastAsia"/>
          <w:b/>
          <w:sz w:val="32"/>
          <w:szCs w:val="32"/>
          <w:vertAlign w:val="subscript"/>
        </w:rPr>
        <w:t>d</w:t>
      </w:r>
      <w:r w:rsidRPr="00285431">
        <w:rPr>
          <w:rFonts w:eastAsiaTheme="minorEastAsia"/>
          <w:b/>
          <w:sz w:val="32"/>
          <w:szCs w:val="32"/>
        </w:rPr>
        <w:t xml:space="preserve"> = Desired Intensity</w:t>
      </w:r>
      <w:bookmarkStart w:id="0" w:name="_GoBack"/>
      <w:bookmarkEnd w:id="0"/>
    </w:p>
    <w:p w:rsidR="00285431" w:rsidRPr="00285431" w:rsidRDefault="00285431" w:rsidP="004C3B09">
      <w:pPr>
        <w:rPr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</w:rPr>
        <w:t xml:space="preserve">              </w:t>
      </w:r>
    </w:p>
    <w:p w:rsidR="00926DA8" w:rsidRPr="00285431" w:rsidRDefault="004C3B09" w:rsidP="004C3B09">
      <w:pPr>
        <w:rPr>
          <w:sz w:val="24"/>
          <w:szCs w:val="24"/>
        </w:rPr>
      </w:pPr>
      <w:proofErr w:type="spellStart"/>
      <w:r w:rsidRPr="00285431">
        <w:rPr>
          <w:sz w:val="24"/>
          <w:szCs w:val="24"/>
        </w:rPr>
        <w:t>En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sus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propias</w:t>
      </w:r>
      <w:proofErr w:type="spellEnd"/>
      <w:r w:rsidRPr="00285431">
        <w:rPr>
          <w:sz w:val="24"/>
          <w:szCs w:val="24"/>
        </w:rPr>
        <w:t xml:space="preserve"> palabras, </w:t>
      </w:r>
      <w:proofErr w:type="spellStart"/>
      <w:r w:rsidRPr="00285431">
        <w:rPr>
          <w:sz w:val="24"/>
          <w:szCs w:val="24"/>
        </w:rPr>
        <w:t>explique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por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qué</w:t>
      </w:r>
      <w:proofErr w:type="spellEnd"/>
      <w:r w:rsidRPr="00285431">
        <w:rPr>
          <w:sz w:val="24"/>
          <w:szCs w:val="24"/>
        </w:rPr>
        <w:t xml:space="preserve"> la </w:t>
      </w:r>
      <w:proofErr w:type="spellStart"/>
      <w:r w:rsidRPr="00285431">
        <w:rPr>
          <w:sz w:val="24"/>
          <w:szCs w:val="24"/>
        </w:rPr>
        <w:t>intensidad</w:t>
      </w:r>
      <w:proofErr w:type="spellEnd"/>
      <w:r w:rsidRPr="00285431">
        <w:rPr>
          <w:sz w:val="24"/>
          <w:szCs w:val="24"/>
        </w:rPr>
        <w:t xml:space="preserve"> de la </w:t>
      </w:r>
      <w:proofErr w:type="spellStart"/>
      <w:r w:rsidRPr="00285431">
        <w:rPr>
          <w:sz w:val="24"/>
          <w:szCs w:val="24"/>
        </w:rPr>
        <w:t>radiación</w:t>
      </w:r>
      <w:proofErr w:type="spellEnd"/>
      <w:r w:rsidRPr="00285431">
        <w:rPr>
          <w:sz w:val="24"/>
          <w:szCs w:val="24"/>
        </w:rPr>
        <w:t xml:space="preserve"> </w:t>
      </w:r>
      <w:proofErr w:type="spellStart"/>
      <w:r w:rsidRPr="00285431">
        <w:rPr>
          <w:sz w:val="24"/>
          <w:szCs w:val="24"/>
        </w:rPr>
        <w:t>disminuye</w:t>
      </w:r>
      <w:proofErr w:type="spellEnd"/>
      <w:r w:rsidRPr="00285431">
        <w:rPr>
          <w:sz w:val="24"/>
          <w:szCs w:val="24"/>
        </w:rPr>
        <w:t xml:space="preserve"> con la </w:t>
      </w:r>
      <w:proofErr w:type="spellStart"/>
      <w:r w:rsidRPr="00285431">
        <w:rPr>
          <w:sz w:val="24"/>
          <w:szCs w:val="24"/>
        </w:rPr>
        <w:t>distancia</w:t>
      </w:r>
      <w:proofErr w:type="spellEnd"/>
      <w:r w:rsidRPr="00285431">
        <w:rPr>
          <w:sz w:val="24"/>
          <w:szCs w:val="24"/>
          <w:u w:val="single"/>
        </w:rPr>
        <w:t>.</w:t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  <w:r w:rsidR="00285431">
        <w:rPr>
          <w:sz w:val="24"/>
          <w:szCs w:val="24"/>
          <w:u w:val="single"/>
        </w:rPr>
        <w:tab/>
      </w:r>
    </w:p>
    <w:sectPr w:rsidR="00926DA8" w:rsidRPr="0028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9"/>
    <w:rsid w:val="00285431"/>
    <w:rsid w:val="004C3B09"/>
    <w:rsid w:val="009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E21B"/>
  <w15:chartTrackingRefBased/>
  <w15:docId w15:val="{BE926F36-ACC7-4054-B79D-E357ED9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rc.gov/docs/ML1121/ML11210B5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rc.gov/about-nrc/radiation/protects-you/protection-principles.html#tds" TargetMode="External"/><Relationship Id="rId5" Type="http://schemas.openxmlformats.org/officeDocument/2006/relationships/hyperlink" Target="https://www.nrc.gov/reading-rm/basic-ref/glossary/alara.html" TargetMode="External"/><Relationship Id="rId4" Type="http://schemas.openxmlformats.org/officeDocument/2006/relationships/hyperlink" Target="https://www.nrc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2019-04-05T22:18:00Z</dcterms:created>
  <dcterms:modified xsi:type="dcterms:W3CDTF">2019-05-10T23:17:00Z</dcterms:modified>
</cp:coreProperties>
</file>