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E6A" w:rsidRDefault="003B4025" w:rsidP="004A2523">
      <w:pPr>
        <w:pStyle w:val="Heading1"/>
        <w:rPr>
          <w:rFonts w:asciiTheme="minorHAnsi" w:hAnsiTheme="minorHAnsi" w:cstheme="minorHAnsi"/>
          <w:b w:val="0"/>
          <w:sz w:val="24"/>
          <w:szCs w:val="24"/>
          <w:u w:val="none"/>
        </w:rPr>
      </w:pPr>
      <w:r w:rsidRPr="003B4025">
        <w:rPr>
          <w:rFonts w:asciiTheme="minorHAnsi" w:hAnsiTheme="minorHAnsi" w:cstheme="minorHAnsi"/>
          <w:b w:val="0"/>
          <w:sz w:val="24"/>
          <w:szCs w:val="24"/>
          <w:u w:val="none"/>
        </w:rPr>
        <w:t xml:space="preserve">The NRC </w:t>
      </w:r>
      <w:r>
        <w:rPr>
          <w:rFonts w:asciiTheme="minorHAnsi" w:hAnsiTheme="minorHAnsi" w:cstheme="minorHAnsi"/>
          <w:b w:val="0"/>
          <w:sz w:val="24"/>
          <w:szCs w:val="24"/>
          <w:u w:val="none"/>
        </w:rPr>
        <w:t xml:space="preserve">provides detailed information on the signage to </w:t>
      </w:r>
      <w:proofErr w:type="gramStart"/>
      <w:r>
        <w:rPr>
          <w:rFonts w:asciiTheme="minorHAnsi" w:hAnsiTheme="minorHAnsi" w:cstheme="minorHAnsi"/>
          <w:b w:val="0"/>
          <w:sz w:val="24"/>
          <w:szCs w:val="24"/>
          <w:u w:val="none"/>
        </w:rPr>
        <w:t>be used</w:t>
      </w:r>
      <w:proofErr w:type="gramEnd"/>
      <w:r>
        <w:rPr>
          <w:rFonts w:asciiTheme="minorHAnsi" w:hAnsiTheme="minorHAnsi" w:cstheme="minorHAnsi"/>
          <w:b w:val="0"/>
          <w:sz w:val="24"/>
          <w:szCs w:val="24"/>
          <w:u w:val="none"/>
        </w:rPr>
        <w:t xml:space="preserve"> for every level and type of Radiation safety situation.  It is the radiographer’s responsibility to recognize and understand the significance of the variety of signs.  The NRC </w:t>
      </w:r>
      <w:r w:rsidR="00A163D8">
        <w:rPr>
          <w:rFonts w:asciiTheme="minorHAnsi" w:hAnsiTheme="minorHAnsi" w:cstheme="minorHAnsi"/>
          <w:b w:val="0"/>
          <w:sz w:val="24"/>
          <w:szCs w:val="24"/>
          <w:u w:val="none"/>
        </w:rPr>
        <w:t>dictates the color, wording</w:t>
      </w:r>
      <w:r w:rsidR="0022591C">
        <w:rPr>
          <w:rFonts w:asciiTheme="minorHAnsi" w:hAnsiTheme="minorHAnsi" w:cstheme="minorHAnsi"/>
          <w:b w:val="0"/>
          <w:sz w:val="24"/>
          <w:szCs w:val="24"/>
          <w:u w:val="none"/>
        </w:rPr>
        <w:t>,</w:t>
      </w:r>
      <w:r w:rsidR="00A163D8">
        <w:rPr>
          <w:rFonts w:asciiTheme="minorHAnsi" w:hAnsiTheme="minorHAnsi" w:cstheme="minorHAnsi"/>
          <w:b w:val="0"/>
          <w:sz w:val="24"/>
          <w:szCs w:val="24"/>
          <w:u w:val="none"/>
        </w:rPr>
        <w:t xml:space="preserve"> size, and geometric shape of Radiation caution signs in NRC Part 20.1901 as follows:                                                                                 </w:t>
      </w:r>
      <w:hyperlink r:id="rId7" w:history="1">
        <w:r w:rsidR="00A163D8" w:rsidRPr="00A163D8">
          <w:rPr>
            <w:rStyle w:val="Hyperlink"/>
            <w:rFonts w:asciiTheme="minorHAnsi" w:hAnsiTheme="minorHAnsi" w:cstheme="minorHAnsi"/>
            <w:b w:val="0"/>
            <w:sz w:val="24"/>
            <w:szCs w:val="24"/>
          </w:rPr>
          <w:t>https://www.nrc.gov/reading-rm/doc-collections/cfr/part020/part020-1901.html</w:t>
        </w:r>
      </w:hyperlink>
    </w:p>
    <w:p w:rsidR="008A3FEE" w:rsidRPr="004C1D89" w:rsidRDefault="008A3FEE" w:rsidP="008A3FEE">
      <w:pPr>
        <w:rPr>
          <w:sz w:val="24"/>
          <w:szCs w:val="24"/>
        </w:rPr>
      </w:pPr>
    </w:p>
    <w:p w:rsidR="008A3FEE" w:rsidRPr="004C1D89" w:rsidRDefault="008A3FEE" w:rsidP="008A3FEE">
      <w:pPr>
        <w:rPr>
          <w:sz w:val="24"/>
          <w:szCs w:val="24"/>
        </w:rPr>
      </w:pPr>
      <w:r w:rsidRPr="004C1D89">
        <w:rPr>
          <w:sz w:val="24"/>
          <w:szCs w:val="24"/>
        </w:rPr>
        <w:t>(a) </w:t>
      </w:r>
      <w:r w:rsidRPr="004C1D89">
        <w:rPr>
          <w:i/>
          <w:iCs/>
          <w:sz w:val="24"/>
          <w:szCs w:val="24"/>
        </w:rPr>
        <w:t>Standard radiation symbol</w:t>
      </w:r>
      <w:r w:rsidRPr="004C1D89">
        <w:rPr>
          <w:sz w:val="24"/>
          <w:szCs w:val="24"/>
        </w:rPr>
        <w:t>. Unless otherwise authorized by the Commission, the symbol prescribed by this part shall use the colors magenta, purple, or black on yellow background. The symbol prescribed by this part is the three-bladed design:</w:t>
      </w:r>
    </w:p>
    <w:p w:rsidR="008A3FEE" w:rsidRDefault="008A3FEE" w:rsidP="008A3FEE">
      <w:r w:rsidRPr="008A3FEE">
        <w:drawing>
          <wp:inline distT="0" distB="0" distL="0" distR="0">
            <wp:extent cx="2676525" cy="3581400"/>
            <wp:effectExtent l="0" t="0" r="9525" b="0"/>
            <wp:docPr id="1" name="Picture 1" descr="three-bladed radi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bladed radiation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3581400"/>
                    </a:xfrm>
                    <a:prstGeom prst="rect">
                      <a:avLst/>
                    </a:prstGeom>
                    <a:noFill/>
                    <a:ln>
                      <a:noFill/>
                    </a:ln>
                  </pic:spPr>
                </pic:pic>
              </a:graphicData>
            </a:graphic>
          </wp:inline>
        </w:drawing>
      </w:r>
    </w:p>
    <w:p w:rsidR="008A3FEE" w:rsidRPr="004C1D89" w:rsidRDefault="008A3FEE" w:rsidP="008A3FEE">
      <w:pPr>
        <w:rPr>
          <w:sz w:val="24"/>
          <w:szCs w:val="24"/>
        </w:rPr>
      </w:pPr>
      <w:r w:rsidRPr="004C1D89">
        <w:rPr>
          <w:sz w:val="24"/>
          <w:szCs w:val="24"/>
        </w:rPr>
        <w:t>(1) Cross-hatched area is to be magenta, or purple, or black, and</w:t>
      </w:r>
    </w:p>
    <w:p w:rsidR="008A3FEE" w:rsidRPr="004C1D89" w:rsidRDefault="008A3FEE" w:rsidP="008A3FEE">
      <w:pPr>
        <w:rPr>
          <w:sz w:val="24"/>
          <w:szCs w:val="24"/>
        </w:rPr>
      </w:pPr>
      <w:r w:rsidRPr="004C1D89">
        <w:rPr>
          <w:sz w:val="24"/>
          <w:szCs w:val="24"/>
        </w:rPr>
        <w:t>(2) The background is to be yellow.</w:t>
      </w:r>
    </w:p>
    <w:p w:rsidR="008A3FEE" w:rsidRPr="004C1D89" w:rsidRDefault="008A3FEE" w:rsidP="008A3FEE">
      <w:pPr>
        <w:rPr>
          <w:sz w:val="24"/>
          <w:szCs w:val="24"/>
        </w:rPr>
      </w:pPr>
      <w:r w:rsidRPr="004C1D89">
        <w:rPr>
          <w:sz w:val="24"/>
          <w:szCs w:val="24"/>
        </w:rPr>
        <w:t>(b) </w:t>
      </w:r>
      <w:r w:rsidRPr="004C1D89">
        <w:rPr>
          <w:i/>
          <w:iCs/>
          <w:sz w:val="24"/>
          <w:szCs w:val="24"/>
        </w:rPr>
        <w:t>Exception to color requirements for standard radiation symbol</w:t>
      </w:r>
      <w:r w:rsidRPr="004C1D89">
        <w:rPr>
          <w:sz w:val="24"/>
          <w:szCs w:val="24"/>
        </w:rPr>
        <w:t xml:space="preserve">. Notwithstanding the requirements of paragraph (a) of this section, licensees </w:t>
      </w:r>
      <w:proofErr w:type="gramStart"/>
      <w:r w:rsidRPr="004C1D89">
        <w:rPr>
          <w:sz w:val="24"/>
          <w:szCs w:val="24"/>
        </w:rPr>
        <w:t>are authorized</w:t>
      </w:r>
      <w:proofErr w:type="gramEnd"/>
      <w:r w:rsidRPr="004C1D89">
        <w:rPr>
          <w:sz w:val="24"/>
          <w:szCs w:val="24"/>
        </w:rPr>
        <w:t xml:space="preserve"> to label sources, source holders, or device components containing sources of licensed materials that are subjected to high temperatures, with conspicuously etched or stamped radiation caution symbols and without a color requirement.</w:t>
      </w:r>
    </w:p>
    <w:p w:rsidR="008A3FEE" w:rsidRDefault="008A3FEE" w:rsidP="008A3FEE">
      <w:pPr>
        <w:rPr>
          <w:sz w:val="24"/>
          <w:szCs w:val="24"/>
        </w:rPr>
      </w:pPr>
      <w:r w:rsidRPr="004C1D89">
        <w:rPr>
          <w:sz w:val="24"/>
          <w:szCs w:val="24"/>
        </w:rPr>
        <w:t>(c) </w:t>
      </w:r>
      <w:r w:rsidRPr="004C1D89">
        <w:rPr>
          <w:i/>
          <w:iCs/>
          <w:sz w:val="24"/>
          <w:szCs w:val="24"/>
        </w:rPr>
        <w:t>Additional information on signs and labels</w:t>
      </w:r>
      <w:r w:rsidRPr="004C1D89">
        <w:rPr>
          <w:sz w:val="24"/>
          <w:szCs w:val="24"/>
        </w:rPr>
        <w:t>. In addition to the contents of signs and labels prescribed in this part, the licensee may provide, on or near the required signs and labels, additional information, as appropriate, to make individuals aware of potential radiation exposures and to minimize the exposures.</w:t>
      </w:r>
    </w:p>
    <w:p w:rsidR="002E6134" w:rsidRDefault="002E6134" w:rsidP="008A3FEE">
      <w:pPr>
        <w:rPr>
          <w:sz w:val="24"/>
          <w:szCs w:val="24"/>
        </w:rPr>
      </w:pPr>
      <w:r>
        <w:rPr>
          <w:noProof/>
        </w:rPr>
        <w:lastRenderedPageBreak/>
        <w:drawing>
          <wp:inline distT="0" distB="0" distL="0" distR="0" wp14:anchorId="6FA912F1" wp14:editId="6D1203A2">
            <wp:extent cx="6492240" cy="5012690"/>
            <wp:effectExtent l="0" t="0" r="3810" b="0"/>
            <wp:docPr id="3074" name="Picture 2" descr="https://media2.picsearch.com/is?AnL6NFWQ3bemnlNVrvoEA4aGXHDuI7MRyl6tZa2kD4k&amp;height=2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https://media2.picsearch.com/is?AnL6NFWQ3bemnlNVrvoEA4aGXHDuI7MRyl6tZa2kD4k&amp;height=244"/>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2240" cy="5012690"/>
                    </a:xfrm>
                    <a:prstGeom prst="rect">
                      <a:avLst/>
                    </a:prstGeom>
                    <a:noFill/>
                    <a:extLst/>
                  </pic:spPr>
                </pic:pic>
              </a:graphicData>
            </a:graphic>
          </wp:inline>
        </w:drawing>
      </w:r>
    </w:p>
    <w:p w:rsidR="002E6134" w:rsidRDefault="002E6134" w:rsidP="008A3FEE">
      <w:pPr>
        <w:rPr>
          <w:sz w:val="24"/>
          <w:szCs w:val="24"/>
        </w:rPr>
      </w:pPr>
      <w:r>
        <w:rPr>
          <w:noProof/>
          <w:sz w:val="24"/>
          <w:szCs w:val="24"/>
        </w:rPr>
        <w:lastRenderedPageBreak/>
        <w:drawing>
          <wp:inline distT="0" distB="0" distL="0" distR="0" wp14:anchorId="7047E3CD">
            <wp:extent cx="4505325" cy="540929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191" cy="5410335"/>
                    </a:xfrm>
                    <a:prstGeom prst="rect">
                      <a:avLst/>
                    </a:prstGeom>
                    <a:noFill/>
                  </pic:spPr>
                </pic:pic>
              </a:graphicData>
            </a:graphic>
          </wp:inline>
        </w:drawing>
      </w:r>
    </w:p>
    <w:p w:rsidR="008A3FEE" w:rsidRDefault="00EE49D2" w:rsidP="008A3FEE">
      <w:pPr>
        <w:rPr>
          <w:sz w:val="24"/>
          <w:szCs w:val="24"/>
        </w:rPr>
      </w:pPr>
      <w:r w:rsidRPr="00EE49D2">
        <w:rPr>
          <w:b/>
          <w:sz w:val="24"/>
          <w:szCs w:val="24"/>
        </w:rPr>
        <w:t>Radiation Caution S</w:t>
      </w:r>
      <w:r w:rsidR="004C1D89" w:rsidRPr="00EE49D2">
        <w:rPr>
          <w:b/>
          <w:sz w:val="24"/>
          <w:szCs w:val="24"/>
        </w:rPr>
        <w:t>igns</w:t>
      </w:r>
      <w:r w:rsidR="004C1D89">
        <w:rPr>
          <w:sz w:val="24"/>
          <w:szCs w:val="24"/>
        </w:rPr>
        <w:t xml:space="preserve"> </w:t>
      </w:r>
      <w:proofErr w:type="gramStart"/>
      <w:r w:rsidR="004C1D89">
        <w:rPr>
          <w:sz w:val="24"/>
          <w:szCs w:val="24"/>
        </w:rPr>
        <w:t>are divided</w:t>
      </w:r>
      <w:proofErr w:type="gramEnd"/>
      <w:r w:rsidR="004C1D89">
        <w:rPr>
          <w:sz w:val="24"/>
          <w:szCs w:val="24"/>
        </w:rPr>
        <w:t xml:space="preserve"> into the categories of Radiation Area and Radioactive Material</w:t>
      </w:r>
    </w:p>
    <w:p w:rsidR="004C1D89" w:rsidRDefault="00DC7730" w:rsidP="004C1D89">
      <w:r>
        <w:rPr>
          <w:sz w:val="24"/>
          <w:szCs w:val="24"/>
        </w:rPr>
        <w:t xml:space="preserve"> Radioactive Material container signage and labeling is specified in NRC Part 20.1904 and can be found at the following </w:t>
      </w:r>
      <w:proofErr w:type="gramStart"/>
      <w:r>
        <w:rPr>
          <w:sz w:val="24"/>
          <w:szCs w:val="24"/>
        </w:rPr>
        <w:t>url</w:t>
      </w:r>
      <w:proofErr w:type="gramEnd"/>
      <w:r>
        <w:rPr>
          <w:sz w:val="24"/>
          <w:szCs w:val="24"/>
        </w:rPr>
        <w:t xml:space="preserve">: </w:t>
      </w:r>
      <w:hyperlink r:id="rId11" w:history="1">
        <w:r>
          <w:rPr>
            <w:rStyle w:val="Hyperlink"/>
          </w:rPr>
          <w:t>https://www.nrc.gov/reading-rm/doc-collections/cfr/part020/part020-1904.html</w:t>
        </w:r>
      </w:hyperlink>
    </w:p>
    <w:p w:rsidR="00DC7730" w:rsidRPr="00DC7730" w:rsidRDefault="00DC7730" w:rsidP="00DC7730">
      <w:pPr>
        <w:rPr>
          <w:sz w:val="24"/>
          <w:szCs w:val="24"/>
        </w:rPr>
      </w:pPr>
      <w:r w:rsidRPr="00DC7730">
        <w:rPr>
          <w:sz w:val="24"/>
          <w:szCs w:val="24"/>
        </w:rPr>
        <w:t>(a) The licensee shall ensure that each container of licensed material bears a durable, clearly visible label bearing the radiation symbol and the words "CAUTION, RADIOACTIVE MATERIAL" or "DANGER, RADIOACTIVE MATERIAL." The label must also provide sufficient information (such as the radionuclide(s) present, an estimate of the quantity of radioactivity, the date for which the activity is estimated, radiation levels, kinds of materials, and mass enrichment) to permit individuals handling or using the containers, or working in the vicinity of the containers, to take precautions to avoid or minimize exposures.</w:t>
      </w:r>
    </w:p>
    <w:p w:rsidR="00DC7730" w:rsidRDefault="00DC7730" w:rsidP="00DC7730">
      <w:pPr>
        <w:rPr>
          <w:sz w:val="24"/>
          <w:szCs w:val="24"/>
        </w:rPr>
      </w:pPr>
      <w:r w:rsidRPr="00DC7730">
        <w:rPr>
          <w:sz w:val="24"/>
          <w:szCs w:val="24"/>
        </w:rPr>
        <w:lastRenderedPageBreak/>
        <w:t>(b) Each licensee shall, prior to removal or disposal of empty uncontaminated containers to unrestricted areas, remove or deface the radioactive material label or otherwise clearly indicate that the container no longer contains radioactive materials.</w:t>
      </w:r>
    </w:p>
    <w:p w:rsidR="00EE49D2" w:rsidRDefault="00EE49D2" w:rsidP="00DC7730">
      <w:pPr>
        <w:rPr>
          <w:sz w:val="24"/>
          <w:szCs w:val="24"/>
        </w:rPr>
      </w:pPr>
      <w:r>
        <w:rPr>
          <w:sz w:val="24"/>
          <w:szCs w:val="24"/>
        </w:rPr>
        <w:t xml:space="preserve">The NRC divides </w:t>
      </w:r>
      <w:r w:rsidR="00C534CA">
        <w:rPr>
          <w:sz w:val="24"/>
          <w:szCs w:val="24"/>
        </w:rPr>
        <w:t>R</w:t>
      </w:r>
      <w:r>
        <w:rPr>
          <w:sz w:val="24"/>
          <w:szCs w:val="24"/>
        </w:rPr>
        <w:t>adioactive Signage (including shipping labels) into the following categories:</w:t>
      </w:r>
    </w:p>
    <w:p w:rsidR="00EE49D2" w:rsidRDefault="00EE49D2" w:rsidP="00EE49D2">
      <w:pPr>
        <w:pStyle w:val="ListParagraph"/>
        <w:numPr>
          <w:ilvl w:val="0"/>
          <w:numId w:val="19"/>
        </w:numPr>
        <w:rPr>
          <w:sz w:val="24"/>
          <w:szCs w:val="24"/>
        </w:rPr>
      </w:pPr>
      <w:r w:rsidRPr="00EE49D2">
        <w:rPr>
          <w:b/>
          <w:sz w:val="24"/>
          <w:szCs w:val="24"/>
          <w:u w:val="single"/>
        </w:rPr>
        <w:t>Radioactive White - I Label</w:t>
      </w:r>
      <w:r w:rsidRPr="00EE49D2">
        <w:rPr>
          <w:sz w:val="24"/>
          <w:szCs w:val="24"/>
        </w:rPr>
        <w:t xml:space="preserve"> – radiation level at package surface is less than or equal to 0.5 </w:t>
      </w:r>
      <w:proofErr w:type="spellStart"/>
      <w:r w:rsidRPr="00EE49D2">
        <w:rPr>
          <w:sz w:val="24"/>
          <w:szCs w:val="24"/>
        </w:rPr>
        <w:t>mr</w:t>
      </w:r>
      <w:proofErr w:type="spellEnd"/>
      <w:r w:rsidRPr="00EE49D2">
        <w:rPr>
          <w:sz w:val="24"/>
          <w:szCs w:val="24"/>
        </w:rPr>
        <w:t>/hr.</w:t>
      </w:r>
    </w:p>
    <w:p w:rsidR="00933B23" w:rsidRPr="00EE49D2" w:rsidRDefault="00933B23" w:rsidP="00933B23">
      <w:pPr>
        <w:pStyle w:val="ListParagraph"/>
        <w:numPr>
          <w:ilvl w:val="1"/>
          <w:numId w:val="19"/>
        </w:numPr>
        <w:rPr>
          <w:sz w:val="24"/>
          <w:szCs w:val="24"/>
        </w:rPr>
      </w:pPr>
      <w:r>
        <w:rPr>
          <w:noProof/>
        </w:rPr>
        <w:drawing>
          <wp:inline distT="0" distB="0" distL="0" distR="0" wp14:anchorId="7F98697F" wp14:editId="15141AD6">
            <wp:extent cx="4962525" cy="50121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70647" cy="5020353"/>
                    </a:xfrm>
                    <a:prstGeom prst="rect">
                      <a:avLst/>
                    </a:prstGeom>
                  </pic:spPr>
                </pic:pic>
              </a:graphicData>
            </a:graphic>
          </wp:inline>
        </w:drawing>
      </w:r>
    </w:p>
    <w:p w:rsidR="00EE49D2" w:rsidRDefault="00EE49D2" w:rsidP="00EE49D2">
      <w:pPr>
        <w:pStyle w:val="ListParagraph"/>
        <w:numPr>
          <w:ilvl w:val="0"/>
          <w:numId w:val="19"/>
        </w:numPr>
        <w:rPr>
          <w:sz w:val="24"/>
          <w:szCs w:val="24"/>
        </w:rPr>
      </w:pPr>
      <w:r w:rsidRPr="00EE49D2">
        <w:rPr>
          <w:b/>
          <w:sz w:val="24"/>
          <w:szCs w:val="24"/>
          <w:u w:val="single"/>
        </w:rPr>
        <w:t>Radioactive Yellow – II Label</w:t>
      </w:r>
      <w:r w:rsidRPr="00EE49D2">
        <w:rPr>
          <w:sz w:val="24"/>
          <w:szCs w:val="24"/>
        </w:rPr>
        <w:t xml:space="preserve"> - radiation level at package surface is greater than 0.5 </w:t>
      </w:r>
      <w:proofErr w:type="spellStart"/>
      <w:r w:rsidRPr="00EE49D2">
        <w:rPr>
          <w:sz w:val="24"/>
          <w:szCs w:val="24"/>
        </w:rPr>
        <w:t>mr</w:t>
      </w:r>
      <w:proofErr w:type="spellEnd"/>
      <w:r w:rsidRPr="00EE49D2">
        <w:rPr>
          <w:sz w:val="24"/>
          <w:szCs w:val="24"/>
        </w:rPr>
        <w:t>/</w:t>
      </w:r>
      <w:proofErr w:type="spellStart"/>
      <w:r w:rsidRPr="00EE49D2">
        <w:rPr>
          <w:sz w:val="24"/>
          <w:szCs w:val="24"/>
        </w:rPr>
        <w:t>hr</w:t>
      </w:r>
      <w:proofErr w:type="spellEnd"/>
      <w:r w:rsidRPr="00EE49D2">
        <w:rPr>
          <w:sz w:val="24"/>
          <w:szCs w:val="24"/>
        </w:rPr>
        <w:t xml:space="preserve"> but is less than or equal to 50.0 </w:t>
      </w:r>
      <w:proofErr w:type="spellStart"/>
      <w:r w:rsidRPr="00EE49D2">
        <w:rPr>
          <w:sz w:val="24"/>
          <w:szCs w:val="24"/>
        </w:rPr>
        <w:t>mr</w:t>
      </w:r>
      <w:proofErr w:type="spellEnd"/>
      <w:r w:rsidRPr="00EE49D2">
        <w:rPr>
          <w:sz w:val="24"/>
          <w:szCs w:val="24"/>
        </w:rPr>
        <w:t>/</w:t>
      </w:r>
      <w:proofErr w:type="spellStart"/>
      <w:r w:rsidRPr="00EE49D2">
        <w:rPr>
          <w:sz w:val="24"/>
          <w:szCs w:val="24"/>
        </w:rPr>
        <w:t>hr</w:t>
      </w:r>
      <w:proofErr w:type="spellEnd"/>
    </w:p>
    <w:p w:rsidR="00933B23" w:rsidRPr="00EE49D2" w:rsidRDefault="00933B23" w:rsidP="00933B23">
      <w:pPr>
        <w:pStyle w:val="ListParagraph"/>
        <w:numPr>
          <w:ilvl w:val="1"/>
          <w:numId w:val="19"/>
        </w:numPr>
        <w:rPr>
          <w:sz w:val="24"/>
          <w:szCs w:val="24"/>
        </w:rPr>
      </w:pPr>
      <w:r>
        <w:rPr>
          <w:noProof/>
        </w:rPr>
        <w:lastRenderedPageBreak/>
        <w:drawing>
          <wp:inline distT="0" distB="0" distL="0" distR="0" wp14:anchorId="5DA0FE03" wp14:editId="4D6AB5E5">
            <wp:extent cx="3057525" cy="3057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57686" cy="3057686"/>
                    </a:xfrm>
                    <a:prstGeom prst="rect">
                      <a:avLst/>
                    </a:prstGeom>
                  </pic:spPr>
                </pic:pic>
              </a:graphicData>
            </a:graphic>
          </wp:inline>
        </w:drawing>
      </w:r>
    </w:p>
    <w:p w:rsidR="00EE49D2" w:rsidRDefault="00EE49D2" w:rsidP="00EE49D2">
      <w:pPr>
        <w:pStyle w:val="ListParagraph"/>
        <w:numPr>
          <w:ilvl w:val="0"/>
          <w:numId w:val="19"/>
        </w:numPr>
        <w:rPr>
          <w:sz w:val="24"/>
          <w:szCs w:val="24"/>
        </w:rPr>
      </w:pPr>
      <w:r w:rsidRPr="00EE49D2">
        <w:rPr>
          <w:b/>
          <w:sz w:val="24"/>
          <w:szCs w:val="24"/>
          <w:u w:val="single"/>
        </w:rPr>
        <w:t>Radioactive Yellow – II Label</w:t>
      </w:r>
      <w:r w:rsidRPr="00EE49D2">
        <w:rPr>
          <w:sz w:val="24"/>
          <w:szCs w:val="24"/>
        </w:rPr>
        <w:t xml:space="preserve"> - radiation level at package surface is greater than 0.5 </w:t>
      </w:r>
      <w:proofErr w:type="spellStart"/>
      <w:r w:rsidRPr="00EE49D2">
        <w:rPr>
          <w:sz w:val="24"/>
          <w:szCs w:val="24"/>
        </w:rPr>
        <w:t>mr</w:t>
      </w:r>
      <w:proofErr w:type="spellEnd"/>
      <w:r w:rsidRPr="00EE49D2">
        <w:rPr>
          <w:sz w:val="24"/>
          <w:szCs w:val="24"/>
        </w:rPr>
        <w:t>/</w:t>
      </w:r>
      <w:proofErr w:type="spellStart"/>
      <w:r w:rsidRPr="00EE49D2">
        <w:rPr>
          <w:sz w:val="24"/>
          <w:szCs w:val="24"/>
        </w:rPr>
        <w:t>hr</w:t>
      </w:r>
      <w:proofErr w:type="spellEnd"/>
      <w:r w:rsidRPr="00EE49D2">
        <w:rPr>
          <w:sz w:val="24"/>
          <w:szCs w:val="24"/>
        </w:rPr>
        <w:t xml:space="preserve"> but is less than or equal to 50.0 </w:t>
      </w:r>
      <w:proofErr w:type="spellStart"/>
      <w:r w:rsidRPr="00EE49D2">
        <w:rPr>
          <w:sz w:val="24"/>
          <w:szCs w:val="24"/>
        </w:rPr>
        <w:t>mr</w:t>
      </w:r>
      <w:proofErr w:type="spellEnd"/>
      <w:r w:rsidRPr="00EE49D2">
        <w:rPr>
          <w:sz w:val="24"/>
          <w:szCs w:val="24"/>
        </w:rPr>
        <w:t>/</w:t>
      </w:r>
      <w:proofErr w:type="spellStart"/>
      <w:r w:rsidRPr="00EE49D2">
        <w:rPr>
          <w:sz w:val="24"/>
          <w:szCs w:val="24"/>
        </w:rPr>
        <w:t>hr</w:t>
      </w:r>
      <w:proofErr w:type="spellEnd"/>
    </w:p>
    <w:p w:rsidR="00933B23" w:rsidRPr="00EE49D2" w:rsidRDefault="00933B23" w:rsidP="00933B23">
      <w:pPr>
        <w:pStyle w:val="ListParagraph"/>
        <w:numPr>
          <w:ilvl w:val="1"/>
          <w:numId w:val="19"/>
        </w:numPr>
        <w:rPr>
          <w:sz w:val="24"/>
          <w:szCs w:val="24"/>
        </w:rPr>
      </w:pPr>
      <w:r>
        <w:rPr>
          <w:noProof/>
          <w:sz w:val="24"/>
          <w:szCs w:val="24"/>
        </w:rPr>
        <w:drawing>
          <wp:inline distT="0" distB="0" distL="0" distR="0" wp14:anchorId="5B036DF5">
            <wp:extent cx="3771900" cy="376737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5683" cy="3771153"/>
                    </a:xfrm>
                    <a:prstGeom prst="rect">
                      <a:avLst/>
                    </a:prstGeom>
                    <a:noFill/>
                  </pic:spPr>
                </pic:pic>
              </a:graphicData>
            </a:graphic>
          </wp:inline>
        </w:drawing>
      </w:r>
    </w:p>
    <w:p w:rsidR="00346B8C" w:rsidRPr="00EE49D2" w:rsidRDefault="00346B8C" w:rsidP="00346B8C">
      <w:pPr>
        <w:pStyle w:val="ListParagraph"/>
        <w:rPr>
          <w:sz w:val="24"/>
          <w:szCs w:val="24"/>
        </w:rPr>
      </w:pPr>
    </w:p>
    <w:p w:rsidR="00A163D8" w:rsidRDefault="00346B8C" w:rsidP="00A163D8">
      <w:pPr>
        <w:rPr>
          <w:sz w:val="24"/>
          <w:szCs w:val="24"/>
        </w:rPr>
      </w:pPr>
      <w:r w:rsidRPr="00346B8C">
        <w:rPr>
          <w:sz w:val="24"/>
          <w:szCs w:val="24"/>
        </w:rPr>
        <w:t>Placards must be displayed on both sides and both ends of motor vehicle, freight containers, and rail cars when used for transporting radioactive materials bearing a “</w:t>
      </w:r>
      <w:r w:rsidRPr="00346B8C">
        <w:rPr>
          <w:b/>
          <w:sz w:val="24"/>
          <w:szCs w:val="24"/>
          <w:u w:val="single"/>
        </w:rPr>
        <w:t xml:space="preserve">RADIOACTIVE </w:t>
      </w:r>
      <w:proofErr w:type="gramStart"/>
      <w:r w:rsidRPr="00346B8C">
        <w:rPr>
          <w:b/>
          <w:sz w:val="24"/>
          <w:szCs w:val="24"/>
          <w:u w:val="single"/>
        </w:rPr>
        <w:t>YELLOW  III</w:t>
      </w:r>
      <w:proofErr w:type="gramEnd"/>
      <w:r w:rsidRPr="00346B8C">
        <w:rPr>
          <w:b/>
          <w:sz w:val="24"/>
          <w:szCs w:val="24"/>
          <w:u w:val="single"/>
        </w:rPr>
        <w:t>”</w:t>
      </w:r>
      <w:r w:rsidRPr="00346B8C">
        <w:rPr>
          <w:sz w:val="24"/>
          <w:szCs w:val="24"/>
        </w:rPr>
        <w:t xml:space="preserve"> label</w:t>
      </w:r>
      <w:r>
        <w:rPr>
          <w:sz w:val="24"/>
          <w:szCs w:val="24"/>
        </w:rPr>
        <w:t xml:space="preserve"> as shown below:</w:t>
      </w:r>
      <w:r w:rsidR="00C9767C">
        <w:rPr>
          <w:sz w:val="24"/>
          <w:szCs w:val="24"/>
        </w:rPr>
        <w:t xml:space="preserve">  </w:t>
      </w:r>
      <w:hyperlink r:id="rId15" w:history="1">
        <w:r w:rsidR="00C9767C">
          <w:rPr>
            <w:rStyle w:val="Hyperlink"/>
          </w:rPr>
          <w:t>https://www.nrc.gov/docs/ML1124/ML11245A185.pdf</w:t>
        </w:r>
      </w:hyperlink>
    </w:p>
    <w:p w:rsidR="00346B8C" w:rsidRDefault="00346B8C" w:rsidP="00A163D8">
      <w:pPr>
        <w:rPr>
          <w:sz w:val="24"/>
          <w:szCs w:val="24"/>
        </w:rPr>
      </w:pPr>
      <w:r>
        <w:rPr>
          <w:noProof/>
        </w:rPr>
        <w:lastRenderedPageBreak/>
        <w:drawing>
          <wp:inline distT="0" distB="0" distL="0" distR="0" wp14:anchorId="5F0BA7F9" wp14:editId="5C55ABF2">
            <wp:extent cx="5562600" cy="3190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2600" cy="3190875"/>
                    </a:xfrm>
                    <a:prstGeom prst="rect">
                      <a:avLst/>
                    </a:prstGeom>
                  </pic:spPr>
                </pic:pic>
              </a:graphicData>
            </a:graphic>
          </wp:inline>
        </w:drawing>
      </w:r>
    </w:p>
    <w:p w:rsidR="00346B8C" w:rsidRPr="004C1D89" w:rsidRDefault="00346B8C" w:rsidP="00A163D8">
      <w:pPr>
        <w:rPr>
          <w:sz w:val="24"/>
          <w:szCs w:val="24"/>
        </w:rPr>
      </w:pPr>
    </w:p>
    <w:p w:rsidR="00A41352" w:rsidRDefault="00887C3B" w:rsidP="00461B1A">
      <w:pPr>
        <w:rPr>
          <w:b/>
          <w:sz w:val="28"/>
          <w:szCs w:val="28"/>
          <w:u w:val="single"/>
        </w:rPr>
      </w:pPr>
      <w:r w:rsidRPr="00A41352">
        <w:rPr>
          <w:sz w:val="24"/>
          <w:szCs w:val="24"/>
        </w:rPr>
        <w:t>Radiation Area</w:t>
      </w:r>
      <w:r w:rsidR="00A41352">
        <w:rPr>
          <w:sz w:val="24"/>
          <w:szCs w:val="24"/>
        </w:rPr>
        <w:t xml:space="preserve">s are covered in NRC Part 20.1003 and defined as follows:                   </w:t>
      </w:r>
      <w:hyperlink r:id="rId17" w:history="1">
        <w:r w:rsidR="00A41352">
          <w:rPr>
            <w:rStyle w:val="Hyperlink"/>
          </w:rPr>
          <w:t>https://www.nrc.gov/reading-rm/doc-collections/cfr/part020/part020-1003.html</w:t>
        </w:r>
      </w:hyperlink>
      <w:r w:rsidR="00461B1A" w:rsidRPr="00A41352">
        <w:rPr>
          <w:sz w:val="24"/>
          <w:szCs w:val="24"/>
        </w:rPr>
        <w:tab/>
      </w:r>
    </w:p>
    <w:p w:rsidR="00A41352" w:rsidRDefault="00A41352" w:rsidP="00461B1A">
      <w:pPr>
        <w:rPr>
          <w:sz w:val="24"/>
          <w:szCs w:val="24"/>
        </w:rPr>
      </w:pPr>
      <w:r w:rsidRPr="00A41352">
        <w:rPr>
          <w:i/>
          <w:iCs/>
          <w:sz w:val="24"/>
          <w:szCs w:val="24"/>
        </w:rPr>
        <w:t>Radiation area</w:t>
      </w:r>
      <w:r w:rsidRPr="00A41352">
        <w:rPr>
          <w:sz w:val="24"/>
          <w:szCs w:val="24"/>
        </w:rPr>
        <w:t xml:space="preserve"> means an area, accessible to individuals, in which radiation levels could result in an individual receiving a dose equivalent in excess of </w:t>
      </w:r>
      <w:r w:rsidRPr="00A41352">
        <w:rPr>
          <w:bCs/>
          <w:sz w:val="24"/>
          <w:szCs w:val="24"/>
        </w:rPr>
        <w:t xml:space="preserve">0.005 rem </w:t>
      </w:r>
      <w:r w:rsidRPr="00A41352">
        <w:rPr>
          <w:sz w:val="24"/>
          <w:szCs w:val="24"/>
        </w:rPr>
        <w:t xml:space="preserve">(0.05 </w:t>
      </w:r>
      <w:proofErr w:type="spellStart"/>
      <w:r w:rsidRPr="00A41352">
        <w:rPr>
          <w:sz w:val="24"/>
          <w:szCs w:val="24"/>
        </w:rPr>
        <w:t>mSv</w:t>
      </w:r>
      <w:proofErr w:type="spellEnd"/>
      <w:r w:rsidRPr="00A41352">
        <w:rPr>
          <w:sz w:val="24"/>
          <w:szCs w:val="24"/>
        </w:rPr>
        <w:t>) in 1 hour at 30 centimeters from the radiation source or from any surface that the radiation penetrates</w:t>
      </w:r>
      <w:r>
        <w:rPr>
          <w:sz w:val="24"/>
          <w:szCs w:val="24"/>
        </w:rPr>
        <w:t>.</w:t>
      </w:r>
    </w:p>
    <w:p w:rsidR="00A41352" w:rsidRDefault="00A41352" w:rsidP="00461B1A">
      <w:pPr>
        <w:rPr>
          <w:sz w:val="24"/>
          <w:szCs w:val="24"/>
        </w:rPr>
      </w:pPr>
      <w:r>
        <w:rPr>
          <w:sz w:val="24"/>
          <w:szCs w:val="24"/>
        </w:rPr>
        <w:t xml:space="preserve">Furthermore, </w:t>
      </w:r>
      <w:r w:rsidR="00827BDC">
        <w:rPr>
          <w:sz w:val="24"/>
          <w:szCs w:val="24"/>
        </w:rPr>
        <w:t xml:space="preserve">a designation of “High Radiation Area” </w:t>
      </w:r>
      <w:proofErr w:type="gramStart"/>
      <w:r w:rsidR="00827BDC">
        <w:rPr>
          <w:sz w:val="24"/>
          <w:szCs w:val="24"/>
        </w:rPr>
        <w:t>is spelled out</w:t>
      </w:r>
      <w:proofErr w:type="gramEnd"/>
      <w:r w:rsidR="00827BDC">
        <w:rPr>
          <w:sz w:val="24"/>
          <w:szCs w:val="24"/>
        </w:rPr>
        <w:t xml:space="preserve"> in NRC Part 20.1003 as follows:</w:t>
      </w:r>
    </w:p>
    <w:p w:rsidR="00827BDC" w:rsidRDefault="00827BDC" w:rsidP="00827BDC">
      <w:pPr>
        <w:rPr>
          <w:sz w:val="24"/>
          <w:szCs w:val="24"/>
        </w:rPr>
      </w:pPr>
      <w:r w:rsidRPr="00827BDC">
        <w:rPr>
          <w:i/>
          <w:iCs/>
          <w:sz w:val="24"/>
          <w:szCs w:val="24"/>
        </w:rPr>
        <w:t>High radiation area </w:t>
      </w:r>
      <w:r w:rsidRPr="00827BDC">
        <w:rPr>
          <w:sz w:val="24"/>
          <w:szCs w:val="24"/>
        </w:rPr>
        <w:t xml:space="preserve">means an area, accessible to individuals, in which radiation levels from radiation sources external to the body could result in an individual receiving a dose equivalent in excess of </w:t>
      </w:r>
      <w:r w:rsidRPr="00827BDC">
        <w:rPr>
          <w:b/>
          <w:bCs/>
          <w:sz w:val="24"/>
          <w:szCs w:val="24"/>
          <w:u w:val="single"/>
        </w:rPr>
        <w:t xml:space="preserve">0.1 rem </w:t>
      </w:r>
      <w:r w:rsidRPr="00827BDC">
        <w:rPr>
          <w:sz w:val="24"/>
          <w:szCs w:val="24"/>
        </w:rPr>
        <w:t xml:space="preserve">(1 </w:t>
      </w:r>
      <w:proofErr w:type="spellStart"/>
      <w:r w:rsidRPr="00827BDC">
        <w:rPr>
          <w:sz w:val="24"/>
          <w:szCs w:val="24"/>
        </w:rPr>
        <w:t>mSv</w:t>
      </w:r>
      <w:proofErr w:type="spellEnd"/>
      <w:r w:rsidRPr="00827BDC">
        <w:rPr>
          <w:sz w:val="24"/>
          <w:szCs w:val="24"/>
        </w:rPr>
        <w:t>) in 1 hour at 30 centimeters from the radiation source or 30 centimeters from any surface that the radiation penetrates.</w:t>
      </w:r>
    </w:p>
    <w:p w:rsidR="00827BDC" w:rsidRPr="00827BDC" w:rsidRDefault="00827BDC" w:rsidP="00827BDC">
      <w:pPr>
        <w:rPr>
          <w:sz w:val="24"/>
          <w:szCs w:val="24"/>
        </w:rPr>
      </w:pPr>
      <w:r>
        <w:rPr>
          <w:noProof/>
        </w:rPr>
        <w:lastRenderedPageBreak/>
        <w:drawing>
          <wp:inline distT="0" distB="0" distL="0" distR="0" wp14:anchorId="7B9FEE66" wp14:editId="4189C09B">
            <wp:extent cx="4348163" cy="4348163"/>
            <wp:effectExtent l="0" t="0" r="0"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48163" cy="4348163"/>
                    </a:xfrm>
                    <a:prstGeom prst="rect">
                      <a:avLst/>
                    </a:prstGeom>
                  </pic:spPr>
                </pic:pic>
              </a:graphicData>
            </a:graphic>
          </wp:inline>
        </w:drawing>
      </w:r>
    </w:p>
    <w:p w:rsidR="00827BDC" w:rsidRPr="00A41352" w:rsidRDefault="00827BDC" w:rsidP="00461B1A">
      <w:pPr>
        <w:rPr>
          <w:sz w:val="24"/>
          <w:szCs w:val="24"/>
        </w:rPr>
      </w:pPr>
      <w:r>
        <w:rPr>
          <w:noProof/>
        </w:rPr>
        <w:drawing>
          <wp:inline distT="0" distB="0" distL="0" distR="0" wp14:anchorId="5F8E78E3" wp14:editId="2DBDFD8D">
            <wp:extent cx="4359598" cy="3074564"/>
            <wp:effectExtent l="0" t="0" r="3175" b="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359598" cy="3074564"/>
                    </a:xfrm>
                    <a:prstGeom prst="rect">
                      <a:avLst/>
                    </a:prstGeom>
                  </pic:spPr>
                </pic:pic>
              </a:graphicData>
            </a:graphic>
          </wp:inline>
        </w:drawing>
      </w:r>
    </w:p>
    <w:p w:rsidR="00A41352" w:rsidRDefault="00A41352" w:rsidP="00461B1A">
      <w:pPr>
        <w:rPr>
          <w:b/>
          <w:sz w:val="28"/>
          <w:szCs w:val="28"/>
          <w:u w:val="single"/>
        </w:rPr>
      </w:pPr>
      <w:bookmarkStart w:id="0" w:name="_GoBack"/>
      <w:bookmarkEnd w:id="0"/>
    </w:p>
    <w:sectPr w:rsidR="00A41352" w:rsidSect="00534C32">
      <w:headerReference w:type="default" r:id="rId20"/>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409" w:rsidRDefault="004D1409" w:rsidP="007873E9">
      <w:pPr>
        <w:spacing w:after="0" w:line="240" w:lineRule="auto"/>
      </w:pPr>
      <w:r>
        <w:separator/>
      </w:r>
    </w:p>
  </w:endnote>
  <w:endnote w:type="continuationSeparator" w:id="0">
    <w:p w:rsidR="004D1409" w:rsidRDefault="004D1409" w:rsidP="00787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409" w:rsidRDefault="004D1409" w:rsidP="007873E9">
      <w:pPr>
        <w:spacing w:after="0" w:line="240" w:lineRule="auto"/>
      </w:pPr>
      <w:r>
        <w:separator/>
      </w:r>
    </w:p>
  </w:footnote>
  <w:footnote w:type="continuationSeparator" w:id="0">
    <w:p w:rsidR="004D1409" w:rsidRDefault="004D1409" w:rsidP="00787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C32" w:rsidRDefault="00534C32">
    <w:pPr>
      <w:pStyle w:val="Header"/>
    </w:pPr>
    <w:r w:rsidRPr="00534C32">
      <w:rPr>
        <w:b/>
        <w:noProof/>
      </w:rPr>
      <mc:AlternateContent>
        <mc:Choice Requires="wps">
          <w:drawing>
            <wp:anchor distT="0" distB="0" distL="118745" distR="118745" simplePos="0" relativeHeight="251659264" behindDoc="1" locked="0" layoutInCell="1" allowOverlap="0">
              <wp:simplePos x="0" y="0"/>
              <wp:positionH relativeFrom="margin">
                <wp:posOffset>-367665</wp:posOffset>
              </wp:positionH>
              <wp:positionV relativeFrom="page">
                <wp:posOffset>448310</wp:posOffset>
              </wp:positionV>
              <wp:extent cx="7068820" cy="269875"/>
              <wp:effectExtent l="0" t="0" r="0" b="4445"/>
              <wp:wrapSquare wrapText="bothSides"/>
              <wp:docPr id="197" name="Rectangle 197"/>
              <wp:cNvGraphicFramePr/>
              <a:graphic xmlns:a="http://schemas.openxmlformats.org/drawingml/2006/main">
                <a:graphicData uri="http://schemas.microsoft.com/office/word/2010/wordprocessingShape">
                  <wps:wsp>
                    <wps:cNvSpPr/>
                    <wps:spPr>
                      <a:xfrm>
                        <a:off x="0" y="0"/>
                        <a:ext cx="7068820" cy="269875"/>
                      </a:xfrm>
                      <a:prstGeom prst="rect">
                        <a:avLst/>
                      </a:prstGeom>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4C32" w:rsidRPr="00246CB2" w:rsidRDefault="005143C9" w:rsidP="00C43A09">
                          <w:pPr>
                            <w:pStyle w:val="Header"/>
                            <w:tabs>
                              <w:tab w:val="clear" w:pos="4680"/>
                              <w:tab w:val="clear" w:pos="9360"/>
                            </w:tabs>
                            <w:rPr>
                              <w:b/>
                              <w:caps/>
                              <w:color w:val="000000" w:themeColor="text1"/>
                              <w:sz w:val="28"/>
                              <w:szCs w:val="28"/>
                              <w:u w:val="single"/>
                            </w:rPr>
                          </w:pPr>
                          <w:r>
                            <w:rPr>
                              <w:b/>
                              <w:caps/>
                              <w:color w:val="000000" w:themeColor="text1"/>
                              <w:sz w:val="28"/>
                              <w:szCs w:val="28"/>
                              <w:u w:val="single"/>
                            </w:rPr>
                            <w:t>unit</w:t>
                          </w:r>
                          <w:r w:rsidR="00A12B44">
                            <w:rPr>
                              <w:b/>
                              <w:caps/>
                              <w:color w:val="000000" w:themeColor="text1"/>
                              <w:sz w:val="28"/>
                              <w:szCs w:val="28"/>
                              <w:u w:val="single"/>
                            </w:rPr>
                            <w:t xml:space="preserve"> </w:t>
                          </w:r>
                          <w:r w:rsidR="00E010D4">
                            <w:rPr>
                              <w:b/>
                              <w:caps/>
                              <w:color w:val="000000" w:themeColor="text1"/>
                              <w:sz w:val="28"/>
                              <w:szCs w:val="28"/>
                              <w:u w:val="single"/>
                            </w:rPr>
                            <w:t>9</w:t>
                          </w:r>
                          <w:r w:rsidR="00A12B44">
                            <w:rPr>
                              <w:b/>
                              <w:caps/>
                              <w:color w:val="000000" w:themeColor="text1"/>
                              <w:sz w:val="28"/>
                              <w:szCs w:val="28"/>
                              <w:u w:val="single"/>
                            </w:rPr>
                            <w:t xml:space="preserve"> </w:t>
                          </w:r>
                          <w:r>
                            <w:rPr>
                              <w:b/>
                              <w:caps/>
                              <w:color w:val="000000" w:themeColor="text1"/>
                              <w:sz w:val="28"/>
                              <w:szCs w:val="28"/>
                              <w:u w:val="single"/>
                            </w:rPr>
                            <w:t>Lecture Notes</w:t>
                          </w:r>
                        </w:p>
                        <w:p w:rsidR="007B384F" w:rsidRPr="00246CB2" w:rsidRDefault="007B384F" w:rsidP="00C43A09">
                          <w:pPr>
                            <w:pStyle w:val="Header"/>
                            <w:tabs>
                              <w:tab w:val="clear" w:pos="4680"/>
                              <w:tab w:val="clear" w:pos="9360"/>
                            </w:tabs>
                            <w:rPr>
                              <w:caps/>
                              <w:color w:val="000000" w:themeColor="text1"/>
                            </w:rPr>
                          </w:pPr>
                          <w:r w:rsidRPr="00246CB2">
                            <w:rPr>
                              <w:caps/>
                              <w:color w:val="000000" w:themeColor="text1"/>
                            </w:rPr>
                            <w:t>j.s. ballard</w:t>
                          </w:r>
                        </w:p>
                        <w:p w:rsidR="00C43A09" w:rsidRPr="00246CB2" w:rsidRDefault="00C317F2" w:rsidP="00C43A09">
                          <w:pPr>
                            <w:pStyle w:val="Header"/>
                            <w:tabs>
                              <w:tab w:val="clear" w:pos="4680"/>
                              <w:tab w:val="clear" w:pos="9360"/>
                            </w:tabs>
                            <w:rPr>
                              <w:caps/>
                              <w:color w:val="000000" w:themeColor="text1"/>
                            </w:rPr>
                          </w:pPr>
                          <w:r>
                            <w:rPr>
                              <w:caps/>
                              <w:color w:val="000000" w:themeColor="text1"/>
                            </w:rPr>
                            <w:t xml:space="preserve"> </w:t>
                          </w:r>
                          <w:r w:rsidR="00E010D4">
                            <w:rPr>
                              <w:caps/>
                              <w:color w:val="000000" w:themeColor="text1"/>
                            </w:rPr>
                            <w:t>Radiation Caution signage</w:t>
                          </w:r>
                          <w:r w:rsidR="005143C9">
                            <w:rPr>
                              <w:cap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angle 197" o:spid="_x0000_s1026" style="position:absolute;margin-left:-28.95pt;margin-top:35.3pt;width:556.6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" o:allowoverlap="f" fillcolor="#464343 [974]" stroked="f" strokeweight="1pt">
              <v:fill color2="#e7e6e6 [3214]" rotate="t" colors="0 #868686;.5 #c2c1c1;1 #e7e6e6" focus="100%" type="gradient"/>
              <v:textbox style="mso-fit-shape-to-text:t">
                <w:txbxContent>
                  <w:p w:rsidR="00534C32" w:rsidRPr="00246CB2" w:rsidRDefault="005143C9" w:rsidP="00C43A09">
                    <w:pPr>
                      <w:pStyle w:val="Header"/>
                      <w:tabs>
                        <w:tab w:val="clear" w:pos="4680"/>
                        <w:tab w:val="clear" w:pos="9360"/>
                      </w:tabs>
                      <w:rPr>
                        <w:b/>
                        <w:caps/>
                        <w:color w:val="000000" w:themeColor="text1"/>
                        <w:sz w:val="28"/>
                        <w:szCs w:val="28"/>
                        <w:u w:val="single"/>
                      </w:rPr>
                    </w:pPr>
                    <w:r>
                      <w:rPr>
                        <w:b/>
                        <w:caps/>
                        <w:color w:val="000000" w:themeColor="text1"/>
                        <w:sz w:val="28"/>
                        <w:szCs w:val="28"/>
                        <w:u w:val="single"/>
                      </w:rPr>
                      <w:t>unit</w:t>
                    </w:r>
                    <w:r w:rsidR="00A12B44">
                      <w:rPr>
                        <w:b/>
                        <w:caps/>
                        <w:color w:val="000000" w:themeColor="text1"/>
                        <w:sz w:val="28"/>
                        <w:szCs w:val="28"/>
                        <w:u w:val="single"/>
                      </w:rPr>
                      <w:t xml:space="preserve"> </w:t>
                    </w:r>
                    <w:r w:rsidR="00E010D4">
                      <w:rPr>
                        <w:b/>
                        <w:caps/>
                        <w:color w:val="000000" w:themeColor="text1"/>
                        <w:sz w:val="28"/>
                        <w:szCs w:val="28"/>
                        <w:u w:val="single"/>
                      </w:rPr>
                      <w:t>9</w:t>
                    </w:r>
                    <w:r w:rsidR="00A12B44">
                      <w:rPr>
                        <w:b/>
                        <w:caps/>
                        <w:color w:val="000000" w:themeColor="text1"/>
                        <w:sz w:val="28"/>
                        <w:szCs w:val="28"/>
                        <w:u w:val="single"/>
                      </w:rPr>
                      <w:t xml:space="preserve"> </w:t>
                    </w:r>
                    <w:r>
                      <w:rPr>
                        <w:b/>
                        <w:caps/>
                        <w:color w:val="000000" w:themeColor="text1"/>
                        <w:sz w:val="28"/>
                        <w:szCs w:val="28"/>
                        <w:u w:val="single"/>
                      </w:rPr>
                      <w:t>Lecture Notes</w:t>
                    </w:r>
                  </w:p>
                  <w:p w:rsidR="007B384F" w:rsidRPr="00246CB2" w:rsidRDefault="007B384F" w:rsidP="00C43A09">
                    <w:pPr>
                      <w:pStyle w:val="Header"/>
                      <w:tabs>
                        <w:tab w:val="clear" w:pos="4680"/>
                        <w:tab w:val="clear" w:pos="9360"/>
                      </w:tabs>
                      <w:rPr>
                        <w:caps/>
                        <w:color w:val="000000" w:themeColor="text1"/>
                      </w:rPr>
                    </w:pPr>
                    <w:r w:rsidRPr="00246CB2">
                      <w:rPr>
                        <w:caps/>
                        <w:color w:val="000000" w:themeColor="text1"/>
                      </w:rPr>
                      <w:t>j.s. ballard</w:t>
                    </w:r>
                  </w:p>
                  <w:p w:rsidR="00C43A09" w:rsidRPr="00246CB2" w:rsidRDefault="00C317F2" w:rsidP="00C43A09">
                    <w:pPr>
                      <w:pStyle w:val="Header"/>
                      <w:tabs>
                        <w:tab w:val="clear" w:pos="4680"/>
                        <w:tab w:val="clear" w:pos="9360"/>
                      </w:tabs>
                      <w:rPr>
                        <w:caps/>
                        <w:color w:val="000000" w:themeColor="text1"/>
                      </w:rPr>
                    </w:pPr>
                    <w:r>
                      <w:rPr>
                        <w:caps/>
                        <w:color w:val="000000" w:themeColor="text1"/>
                      </w:rPr>
                      <w:t xml:space="preserve"> </w:t>
                    </w:r>
                    <w:r w:rsidR="00E010D4">
                      <w:rPr>
                        <w:caps/>
                        <w:color w:val="000000" w:themeColor="text1"/>
                      </w:rPr>
                      <w:t>Radiation Caution signage</w:t>
                    </w:r>
                    <w:r w:rsidR="005143C9">
                      <w:rPr>
                        <w:caps/>
                        <w:color w:val="000000" w:themeColor="text1"/>
                      </w:rPr>
                      <w:t xml:space="preserve"> </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563"/>
    <w:multiLevelType w:val="hybridMultilevel"/>
    <w:tmpl w:val="07581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61DD4"/>
    <w:multiLevelType w:val="hybridMultilevel"/>
    <w:tmpl w:val="EB5CDDA0"/>
    <w:lvl w:ilvl="0" w:tplc="0409000F">
      <w:start w:val="1"/>
      <w:numFmt w:val="decimal"/>
      <w:lvlText w:val="%1."/>
      <w:lvlJc w:val="left"/>
      <w:pPr>
        <w:ind w:left="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00F4313"/>
    <w:multiLevelType w:val="hybridMultilevel"/>
    <w:tmpl w:val="DE6EB78E"/>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27255E81"/>
    <w:multiLevelType w:val="hybridMultilevel"/>
    <w:tmpl w:val="DDD8309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10592"/>
    <w:multiLevelType w:val="multilevel"/>
    <w:tmpl w:val="F6B06682"/>
    <w:lvl w:ilvl="0">
      <w:start w:val="1"/>
      <w:numFmt w:val="decimal"/>
      <w:lvlText w:val="%1"/>
      <w:lvlJc w:val="left"/>
      <w:pPr>
        <w:ind w:left="420" w:hanging="420"/>
      </w:pPr>
      <w:rPr>
        <w:rFonts w:hint="default"/>
      </w:rPr>
    </w:lvl>
    <w:lvl w:ilvl="1">
      <w:start w:val="1"/>
      <w:numFmt w:val="bullet"/>
      <w:lvlText w:val=""/>
      <w:lvlJc w:val="left"/>
      <w:pPr>
        <w:ind w:left="780" w:hanging="4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1BC2993"/>
    <w:multiLevelType w:val="hybridMultilevel"/>
    <w:tmpl w:val="62501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8A0247"/>
    <w:multiLevelType w:val="hybridMultilevel"/>
    <w:tmpl w:val="210AE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51F9E"/>
    <w:multiLevelType w:val="hybridMultilevel"/>
    <w:tmpl w:val="5C50CA16"/>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3A9A6A39"/>
    <w:multiLevelType w:val="hybridMultilevel"/>
    <w:tmpl w:val="DB2828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9D35FA"/>
    <w:multiLevelType w:val="multilevel"/>
    <w:tmpl w:val="F6B06682"/>
    <w:lvl w:ilvl="0">
      <w:start w:val="1"/>
      <w:numFmt w:val="decimal"/>
      <w:lvlText w:val="%1"/>
      <w:lvlJc w:val="left"/>
      <w:pPr>
        <w:ind w:left="420" w:hanging="420"/>
      </w:pPr>
      <w:rPr>
        <w:rFonts w:hint="default"/>
      </w:rPr>
    </w:lvl>
    <w:lvl w:ilvl="1">
      <w:start w:val="1"/>
      <w:numFmt w:val="bullet"/>
      <w:lvlText w:val=""/>
      <w:lvlJc w:val="left"/>
      <w:pPr>
        <w:ind w:left="780" w:hanging="4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CB35D97"/>
    <w:multiLevelType w:val="hybridMultilevel"/>
    <w:tmpl w:val="639CC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8B133F"/>
    <w:multiLevelType w:val="hybridMultilevel"/>
    <w:tmpl w:val="217AA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67E17"/>
    <w:multiLevelType w:val="hybridMultilevel"/>
    <w:tmpl w:val="07581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C7180"/>
    <w:multiLevelType w:val="hybridMultilevel"/>
    <w:tmpl w:val="228E0312"/>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50076C11"/>
    <w:multiLevelType w:val="multilevel"/>
    <w:tmpl w:val="5200342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28F4D6C"/>
    <w:multiLevelType w:val="multilevel"/>
    <w:tmpl w:val="F6B06682"/>
    <w:lvl w:ilvl="0">
      <w:start w:val="1"/>
      <w:numFmt w:val="decimal"/>
      <w:lvlText w:val="%1"/>
      <w:lvlJc w:val="left"/>
      <w:pPr>
        <w:ind w:left="420" w:hanging="420"/>
      </w:pPr>
      <w:rPr>
        <w:rFonts w:hint="default"/>
      </w:rPr>
    </w:lvl>
    <w:lvl w:ilvl="1">
      <w:start w:val="1"/>
      <w:numFmt w:val="bullet"/>
      <w:lvlText w:val=""/>
      <w:lvlJc w:val="left"/>
      <w:pPr>
        <w:ind w:left="780" w:hanging="4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19C353C"/>
    <w:multiLevelType w:val="hybridMultilevel"/>
    <w:tmpl w:val="DD0C9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E50EB2"/>
    <w:multiLevelType w:val="hybridMultilevel"/>
    <w:tmpl w:val="CEAC351A"/>
    <w:lvl w:ilvl="0" w:tplc="BBB46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E8695E"/>
    <w:multiLevelType w:val="hybridMultilevel"/>
    <w:tmpl w:val="04FED9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1"/>
  </w:num>
  <w:num w:numId="3">
    <w:abstractNumId w:val="18"/>
  </w:num>
  <w:num w:numId="4">
    <w:abstractNumId w:val="2"/>
  </w:num>
  <w:num w:numId="5">
    <w:abstractNumId w:val="7"/>
  </w:num>
  <w:num w:numId="6">
    <w:abstractNumId w:val="14"/>
  </w:num>
  <w:num w:numId="7">
    <w:abstractNumId w:val="8"/>
  </w:num>
  <w:num w:numId="8">
    <w:abstractNumId w:val="11"/>
  </w:num>
  <w:num w:numId="9">
    <w:abstractNumId w:val="17"/>
  </w:num>
  <w:num w:numId="10">
    <w:abstractNumId w:val="0"/>
  </w:num>
  <w:num w:numId="11">
    <w:abstractNumId w:val="3"/>
  </w:num>
  <w:num w:numId="12">
    <w:abstractNumId w:val="15"/>
  </w:num>
  <w:num w:numId="13">
    <w:abstractNumId w:val="6"/>
  </w:num>
  <w:num w:numId="14">
    <w:abstractNumId w:val="12"/>
  </w:num>
  <w:num w:numId="15">
    <w:abstractNumId w:val="9"/>
  </w:num>
  <w:num w:numId="16">
    <w:abstractNumId w:val="4"/>
  </w:num>
  <w:num w:numId="17">
    <w:abstractNumId w:val="10"/>
  </w:num>
  <w:num w:numId="18">
    <w:abstractNumId w:val="16"/>
  </w:num>
  <w:num w:numId="1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46A"/>
    <w:rsid w:val="00010148"/>
    <w:rsid w:val="00011D02"/>
    <w:rsid w:val="00014CC5"/>
    <w:rsid w:val="000238BC"/>
    <w:rsid w:val="00033C3D"/>
    <w:rsid w:val="00037FD9"/>
    <w:rsid w:val="000405A6"/>
    <w:rsid w:val="00051A3F"/>
    <w:rsid w:val="0006030B"/>
    <w:rsid w:val="000677A4"/>
    <w:rsid w:val="00083F72"/>
    <w:rsid w:val="000944EA"/>
    <w:rsid w:val="00095938"/>
    <w:rsid w:val="000B0233"/>
    <w:rsid w:val="000C67EC"/>
    <w:rsid w:val="000D6F20"/>
    <w:rsid w:val="000E19F0"/>
    <w:rsid w:val="000F119B"/>
    <w:rsid w:val="00104FB0"/>
    <w:rsid w:val="001111C3"/>
    <w:rsid w:val="00111B0E"/>
    <w:rsid w:val="001178CB"/>
    <w:rsid w:val="00127C43"/>
    <w:rsid w:val="0014602A"/>
    <w:rsid w:val="001479B6"/>
    <w:rsid w:val="00151726"/>
    <w:rsid w:val="00154B7D"/>
    <w:rsid w:val="00155415"/>
    <w:rsid w:val="0018502E"/>
    <w:rsid w:val="0019034A"/>
    <w:rsid w:val="0019432D"/>
    <w:rsid w:val="00194FFF"/>
    <w:rsid w:val="001A1D1F"/>
    <w:rsid w:val="001A268E"/>
    <w:rsid w:val="001A7552"/>
    <w:rsid w:val="001B062D"/>
    <w:rsid w:val="001C2FAD"/>
    <w:rsid w:val="001D395C"/>
    <w:rsid w:val="001E0C21"/>
    <w:rsid w:val="001E146A"/>
    <w:rsid w:val="001F765D"/>
    <w:rsid w:val="00201269"/>
    <w:rsid w:val="0022249F"/>
    <w:rsid w:val="00224712"/>
    <w:rsid w:val="00225372"/>
    <w:rsid w:val="0022591C"/>
    <w:rsid w:val="002262AA"/>
    <w:rsid w:val="002306A8"/>
    <w:rsid w:val="00237550"/>
    <w:rsid w:val="00237B9D"/>
    <w:rsid w:val="002458E5"/>
    <w:rsid w:val="00246CB2"/>
    <w:rsid w:val="00266DF5"/>
    <w:rsid w:val="002A47ED"/>
    <w:rsid w:val="002A4C4F"/>
    <w:rsid w:val="002A6691"/>
    <w:rsid w:val="002B6128"/>
    <w:rsid w:val="002C5786"/>
    <w:rsid w:val="002C59DA"/>
    <w:rsid w:val="002C5BE3"/>
    <w:rsid w:val="002D5EAC"/>
    <w:rsid w:val="002E1488"/>
    <w:rsid w:val="002E6134"/>
    <w:rsid w:val="002E7643"/>
    <w:rsid w:val="002F3E17"/>
    <w:rsid w:val="002F546C"/>
    <w:rsid w:val="002F7CF0"/>
    <w:rsid w:val="00310279"/>
    <w:rsid w:val="0031088E"/>
    <w:rsid w:val="00315A9A"/>
    <w:rsid w:val="0032052F"/>
    <w:rsid w:val="00322110"/>
    <w:rsid w:val="00324BCE"/>
    <w:rsid w:val="00331241"/>
    <w:rsid w:val="00341762"/>
    <w:rsid w:val="00343E40"/>
    <w:rsid w:val="003441F4"/>
    <w:rsid w:val="00346B8C"/>
    <w:rsid w:val="00347065"/>
    <w:rsid w:val="003470F5"/>
    <w:rsid w:val="00350B5F"/>
    <w:rsid w:val="0036012D"/>
    <w:rsid w:val="0036359F"/>
    <w:rsid w:val="00365EDB"/>
    <w:rsid w:val="0038595F"/>
    <w:rsid w:val="00386CDA"/>
    <w:rsid w:val="003A7247"/>
    <w:rsid w:val="003B2905"/>
    <w:rsid w:val="003B4025"/>
    <w:rsid w:val="003B4311"/>
    <w:rsid w:val="003C6FFD"/>
    <w:rsid w:val="003E58B4"/>
    <w:rsid w:val="003F5547"/>
    <w:rsid w:val="00406E24"/>
    <w:rsid w:val="00411B7B"/>
    <w:rsid w:val="00424C9A"/>
    <w:rsid w:val="00440C4D"/>
    <w:rsid w:val="0044105B"/>
    <w:rsid w:val="00453B23"/>
    <w:rsid w:val="00461B1A"/>
    <w:rsid w:val="00465D3F"/>
    <w:rsid w:val="00485121"/>
    <w:rsid w:val="00490084"/>
    <w:rsid w:val="00494F75"/>
    <w:rsid w:val="00495117"/>
    <w:rsid w:val="004954B8"/>
    <w:rsid w:val="004A2523"/>
    <w:rsid w:val="004B3022"/>
    <w:rsid w:val="004B5F47"/>
    <w:rsid w:val="004C1D89"/>
    <w:rsid w:val="004C7503"/>
    <w:rsid w:val="004D1409"/>
    <w:rsid w:val="004D1D1E"/>
    <w:rsid w:val="004D678B"/>
    <w:rsid w:val="004F6C9E"/>
    <w:rsid w:val="00500B99"/>
    <w:rsid w:val="0050233C"/>
    <w:rsid w:val="00510384"/>
    <w:rsid w:val="00511AD6"/>
    <w:rsid w:val="005143C9"/>
    <w:rsid w:val="00525758"/>
    <w:rsid w:val="00525A43"/>
    <w:rsid w:val="00534C32"/>
    <w:rsid w:val="00535B5E"/>
    <w:rsid w:val="005413CE"/>
    <w:rsid w:val="0054269E"/>
    <w:rsid w:val="0054444C"/>
    <w:rsid w:val="0055347B"/>
    <w:rsid w:val="00561579"/>
    <w:rsid w:val="00564456"/>
    <w:rsid w:val="00566600"/>
    <w:rsid w:val="005A44C6"/>
    <w:rsid w:val="005B1E3D"/>
    <w:rsid w:val="005C0C19"/>
    <w:rsid w:val="005D7AE3"/>
    <w:rsid w:val="005E4618"/>
    <w:rsid w:val="005F07D9"/>
    <w:rsid w:val="005F298D"/>
    <w:rsid w:val="00603750"/>
    <w:rsid w:val="006277EB"/>
    <w:rsid w:val="0063518A"/>
    <w:rsid w:val="006362C6"/>
    <w:rsid w:val="0063650A"/>
    <w:rsid w:val="00642795"/>
    <w:rsid w:val="006457A6"/>
    <w:rsid w:val="00672286"/>
    <w:rsid w:val="006B079C"/>
    <w:rsid w:val="006B56F3"/>
    <w:rsid w:val="006D0341"/>
    <w:rsid w:val="006D24DC"/>
    <w:rsid w:val="006F2C24"/>
    <w:rsid w:val="00721E6A"/>
    <w:rsid w:val="00736B6E"/>
    <w:rsid w:val="00763E68"/>
    <w:rsid w:val="00765402"/>
    <w:rsid w:val="00766D9C"/>
    <w:rsid w:val="0077476A"/>
    <w:rsid w:val="007873E9"/>
    <w:rsid w:val="007877E4"/>
    <w:rsid w:val="00797793"/>
    <w:rsid w:val="007A3C25"/>
    <w:rsid w:val="007B384F"/>
    <w:rsid w:val="007B79E2"/>
    <w:rsid w:val="007D2983"/>
    <w:rsid w:val="007D6F65"/>
    <w:rsid w:val="007F786A"/>
    <w:rsid w:val="008054C1"/>
    <w:rsid w:val="00805FC2"/>
    <w:rsid w:val="00807BD4"/>
    <w:rsid w:val="00813146"/>
    <w:rsid w:val="00827BDC"/>
    <w:rsid w:val="008369CF"/>
    <w:rsid w:val="00837882"/>
    <w:rsid w:val="008409DC"/>
    <w:rsid w:val="0084536D"/>
    <w:rsid w:val="0086795C"/>
    <w:rsid w:val="00880AC0"/>
    <w:rsid w:val="00882D6C"/>
    <w:rsid w:val="00887C3B"/>
    <w:rsid w:val="00891B63"/>
    <w:rsid w:val="008A3FEE"/>
    <w:rsid w:val="008B3239"/>
    <w:rsid w:val="008B3BC8"/>
    <w:rsid w:val="008B4308"/>
    <w:rsid w:val="008D0C91"/>
    <w:rsid w:val="008D1188"/>
    <w:rsid w:val="008E1F7D"/>
    <w:rsid w:val="008F0D34"/>
    <w:rsid w:val="008F25DD"/>
    <w:rsid w:val="00920B77"/>
    <w:rsid w:val="00933B23"/>
    <w:rsid w:val="009465A1"/>
    <w:rsid w:val="009546D0"/>
    <w:rsid w:val="009570A9"/>
    <w:rsid w:val="009635CF"/>
    <w:rsid w:val="00972643"/>
    <w:rsid w:val="00974A3F"/>
    <w:rsid w:val="00980ED0"/>
    <w:rsid w:val="009879C5"/>
    <w:rsid w:val="0099785C"/>
    <w:rsid w:val="009A23CC"/>
    <w:rsid w:val="009A39DA"/>
    <w:rsid w:val="009C10C5"/>
    <w:rsid w:val="009D0A72"/>
    <w:rsid w:val="009D6104"/>
    <w:rsid w:val="00A111D9"/>
    <w:rsid w:val="00A12B44"/>
    <w:rsid w:val="00A14A6C"/>
    <w:rsid w:val="00A163D8"/>
    <w:rsid w:val="00A23DB6"/>
    <w:rsid w:val="00A36F9E"/>
    <w:rsid w:val="00A41352"/>
    <w:rsid w:val="00A4523A"/>
    <w:rsid w:val="00A52C88"/>
    <w:rsid w:val="00A538DF"/>
    <w:rsid w:val="00A57331"/>
    <w:rsid w:val="00A76BFF"/>
    <w:rsid w:val="00A84AE1"/>
    <w:rsid w:val="00A86594"/>
    <w:rsid w:val="00A90BF9"/>
    <w:rsid w:val="00A90D32"/>
    <w:rsid w:val="00AA031B"/>
    <w:rsid w:val="00AA600E"/>
    <w:rsid w:val="00AC0DA9"/>
    <w:rsid w:val="00AC3925"/>
    <w:rsid w:val="00AC59D7"/>
    <w:rsid w:val="00AD7852"/>
    <w:rsid w:val="00AF37A4"/>
    <w:rsid w:val="00B20D9C"/>
    <w:rsid w:val="00B251EE"/>
    <w:rsid w:val="00B27073"/>
    <w:rsid w:val="00B2734C"/>
    <w:rsid w:val="00B36CB5"/>
    <w:rsid w:val="00B42697"/>
    <w:rsid w:val="00B45F06"/>
    <w:rsid w:val="00B551F5"/>
    <w:rsid w:val="00B720F0"/>
    <w:rsid w:val="00B77392"/>
    <w:rsid w:val="00B940E5"/>
    <w:rsid w:val="00BA481C"/>
    <w:rsid w:val="00BB6697"/>
    <w:rsid w:val="00BC129C"/>
    <w:rsid w:val="00BC3E06"/>
    <w:rsid w:val="00BD72C4"/>
    <w:rsid w:val="00BF5694"/>
    <w:rsid w:val="00C02315"/>
    <w:rsid w:val="00C10C0B"/>
    <w:rsid w:val="00C21D3F"/>
    <w:rsid w:val="00C25C40"/>
    <w:rsid w:val="00C26D86"/>
    <w:rsid w:val="00C317F2"/>
    <w:rsid w:val="00C3330A"/>
    <w:rsid w:val="00C37207"/>
    <w:rsid w:val="00C43A09"/>
    <w:rsid w:val="00C47EFF"/>
    <w:rsid w:val="00C534CA"/>
    <w:rsid w:val="00C725A4"/>
    <w:rsid w:val="00C84CE4"/>
    <w:rsid w:val="00C8729C"/>
    <w:rsid w:val="00C965AE"/>
    <w:rsid w:val="00C9767C"/>
    <w:rsid w:val="00CA0728"/>
    <w:rsid w:val="00CB0CF4"/>
    <w:rsid w:val="00CB2DB3"/>
    <w:rsid w:val="00CC0E2F"/>
    <w:rsid w:val="00CD1A2F"/>
    <w:rsid w:val="00CE4517"/>
    <w:rsid w:val="00CE5377"/>
    <w:rsid w:val="00D00986"/>
    <w:rsid w:val="00D06BED"/>
    <w:rsid w:val="00D07DDB"/>
    <w:rsid w:val="00D137AB"/>
    <w:rsid w:val="00D15BA9"/>
    <w:rsid w:val="00D40CDD"/>
    <w:rsid w:val="00D42A36"/>
    <w:rsid w:val="00D445C9"/>
    <w:rsid w:val="00D454CE"/>
    <w:rsid w:val="00D71579"/>
    <w:rsid w:val="00D76D9E"/>
    <w:rsid w:val="00D9009C"/>
    <w:rsid w:val="00D9585A"/>
    <w:rsid w:val="00DA2642"/>
    <w:rsid w:val="00DA7A4C"/>
    <w:rsid w:val="00DB251E"/>
    <w:rsid w:val="00DC29C8"/>
    <w:rsid w:val="00DC7730"/>
    <w:rsid w:val="00DD2369"/>
    <w:rsid w:val="00DD3C54"/>
    <w:rsid w:val="00DD6521"/>
    <w:rsid w:val="00DF4639"/>
    <w:rsid w:val="00DF56F1"/>
    <w:rsid w:val="00E010D4"/>
    <w:rsid w:val="00E04071"/>
    <w:rsid w:val="00E04AED"/>
    <w:rsid w:val="00E236AD"/>
    <w:rsid w:val="00E2735E"/>
    <w:rsid w:val="00E307AC"/>
    <w:rsid w:val="00E30809"/>
    <w:rsid w:val="00E35D0B"/>
    <w:rsid w:val="00E4356A"/>
    <w:rsid w:val="00E436D9"/>
    <w:rsid w:val="00E56986"/>
    <w:rsid w:val="00E66A92"/>
    <w:rsid w:val="00E85280"/>
    <w:rsid w:val="00E93C6F"/>
    <w:rsid w:val="00EA5681"/>
    <w:rsid w:val="00EA7A7C"/>
    <w:rsid w:val="00EB0A5F"/>
    <w:rsid w:val="00EB192A"/>
    <w:rsid w:val="00EB1EBE"/>
    <w:rsid w:val="00EB2AD1"/>
    <w:rsid w:val="00EB7557"/>
    <w:rsid w:val="00EC261D"/>
    <w:rsid w:val="00EC669F"/>
    <w:rsid w:val="00ED0177"/>
    <w:rsid w:val="00EE00CE"/>
    <w:rsid w:val="00EE49D2"/>
    <w:rsid w:val="00F009C0"/>
    <w:rsid w:val="00F0178C"/>
    <w:rsid w:val="00F07422"/>
    <w:rsid w:val="00F07545"/>
    <w:rsid w:val="00F07E79"/>
    <w:rsid w:val="00F12BBB"/>
    <w:rsid w:val="00F26E50"/>
    <w:rsid w:val="00F30764"/>
    <w:rsid w:val="00F33735"/>
    <w:rsid w:val="00F42F7F"/>
    <w:rsid w:val="00F61998"/>
    <w:rsid w:val="00F63CF9"/>
    <w:rsid w:val="00F6620D"/>
    <w:rsid w:val="00F714E4"/>
    <w:rsid w:val="00FA22CA"/>
    <w:rsid w:val="00FA54B2"/>
    <w:rsid w:val="00FD1158"/>
    <w:rsid w:val="00FD3B18"/>
    <w:rsid w:val="00FF6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33DE76A"/>
  <w15:chartTrackingRefBased/>
  <w15:docId w15:val="{A30BC1A1-F6EC-470C-8802-E37D6BE30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76A"/>
  </w:style>
  <w:style w:type="paragraph" w:styleId="Heading1">
    <w:name w:val="heading 1"/>
    <w:basedOn w:val="Normal"/>
    <w:next w:val="Normal"/>
    <w:link w:val="Heading1Char"/>
    <w:uiPriority w:val="9"/>
    <w:qFormat/>
    <w:rsid w:val="00EB1EBE"/>
    <w:pPr>
      <w:keepNext/>
      <w:keepLines/>
      <w:spacing w:before="240" w:after="0"/>
      <w:outlineLvl w:val="0"/>
    </w:pPr>
    <w:rPr>
      <w:rFonts w:asciiTheme="majorHAnsi" w:eastAsiaTheme="majorEastAsia" w:hAnsiTheme="majorHAnsi" w:cstheme="majorBidi"/>
      <w:b/>
      <w:sz w:val="32"/>
      <w:szCs w:val="3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518A"/>
    <w:pPr>
      <w:spacing w:after="0" w:line="240" w:lineRule="auto"/>
    </w:pPr>
  </w:style>
  <w:style w:type="paragraph" w:styleId="ListParagraph">
    <w:name w:val="List Paragraph"/>
    <w:basedOn w:val="Normal"/>
    <w:uiPriority w:val="34"/>
    <w:qFormat/>
    <w:rsid w:val="0032052F"/>
    <w:pPr>
      <w:ind w:left="720"/>
      <w:contextualSpacing/>
    </w:pPr>
  </w:style>
  <w:style w:type="table" w:styleId="TableGrid">
    <w:name w:val="Table Grid"/>
    <w:basedOn w:val="TableNormal"/>
    <w:uiPriority w:val="39"/>
    <w:rsid w:val="005F0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3C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C3D"/>
    <w:rPr>
      <w:rFonts w:ascii="Segoe UI" w:hAnsi="Segoe UI" w:cs="Segoe UI"/>
      <w:sz w:val="18"/>
      <w:szCs w:val="18"/>
    </w:rPr>
  </w:style>
  <w:style w:type="paragraph" w:styleId="Header">
    <w:name w:val="header"/>
    <w:basedOn w:val="Normal"/>
    <w:link w:val="HeaderChar"/>
    <w:uiPriority w:val="99"/>
    <w:unhideWhenUsed/>
    <w:rsid w:val="00787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3E9"/>
  </w:style>
  <w:style w:type="paragraph" w:styleId="Footer">
    <w:name w:val="footer"/>
    <w:basedOn w:val="Normal"/>
    <w:link w:val="FooterChar"/>
    <w:uiPriority w:val="99"/>
    <w:unhideWhenUsed/>
    <w:rsid w:val="00787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3E9"/>
  </w:style>
  <w:style w:type="character" w:styleId="Hyperlink">
    <w:name w:val="Hyperlink"/>
    <w:basedOn w:val="DefaultParagraphFont"/>
    <w:uiPriority w:val="99"/>
    <w:unhideWhenUsed/>
    <w:rsid w:val="00E30809"/>
    <w:rPr>
      <w:color w:val="0563C1" w:themeColor="hyperlink"/>
      <w:u w:val="single"/>
    </w:rPr>
  </w:style>
  <w:style w:type="character" w:styleId="FollowedHyperlink">
    <w:name w:val="FollowedHyperlink"/>
    <w:basedOn w:val="DefaultParagraphFont"/>
    <w:uiPriority w:val="99"/>
    <w:semiHidden/>
    <w:unhideWhenUsed/>
    <w:rsid w:val="00E30809"/>
    <w:rPr>
      <w:color w:val="954F72" w:themeColor="followedHyperlink"/>
      <w:u w:val="single"/>
    </w:rPr>
  </w:style>
  <w:style w:type="paragraph" w:styleId="NormalWeb">
    <w:name w:val="Normal (Web)"/>
    <w:basedOn w:val="Normal"/>
    <w:uiPriority w:val="99"/>
    <w:semiHidden/>
    <w:unhideWhenUsed/>
    <w:rsid w:val="00350B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B1EBE"/>
    <w:rPr>
      <w:rFonts w:asciiTheme="majorHAnsi" w:eastAsiaTheme="majorEastAsia" w:hAnsiTheme="majorHAnsi" w:cstheme="majorBidi"/>
      <w:b/>
      <w:sz w:val="32"/>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641706">
      <w:bodyDiv w:val="1"/>
      <w:marLeft w:val="0"/>
      <w:marRight w:val="0"/>
      <w:marTop w:val="0"/>
      <w:marBottom w:val="0"/>
      <w:divBdr>
        <w:top w:val="none" w:sz="0" w:space="0" w:color="auto"/>
        <w:left w:val="none" w:sz="0" w:space="0" w:color="auto"/>
        <w:bottom w:val="none" w:sz="0" w:space="0" w:color="auto"/>
        <w:right w:val="none" w:sz="0" w:space="0" w:color="auto"/>
      </w:divBdr>
    </w:div>
    <w:div w:id="317074691">
      <w:bodyDiv w:val="1"/>
      <w:marLeft w:val="0"/>
      <w:marRight w:val="0"/>
      <w:marTop w:val="0"/>
      <w:marBottom w:val="0"/>
      <w:divBdr>
        <w:top w:val="none" w:sz="0" w:space="0" w:color="auto"/>
        <w:left w:val="none" w:sz="0" w:space="0" w:color="auto"/>
        <w:bottom w:val="none" w:sz="0" w:space="0" w:color="auto"/>
        <w:right w:val="none" w:sz="0" w:space="0" w:color="auto"/>
      </w:divBdr>
    </w:div>
    <w:div w:id="918950091">
      <w:bodyDiv w:val="1"/>
      <w:marLeft w:val="0"/>
      <w:marRight w:val="0"/>
      <w:marTop w:val="0"/>
      <w:marBottom w:val="0"/>
      <w:divBdr>
        <w:top w:val="none" w:sz="0" w:space="0" w:color="auto"/>
        <w:left w:val="none" w:sz="0" w:space="0" w:color="auto"/>
        <w:bottom w:val="none" w:sz="0" w:space="0" w:color="auto"/>
        <w:right w:val="none" w:sz="0" w:space="0" w:color="auto"/>
      </w:divBdr>
    </w:div>
    <w:div w:id="1177622574">
      <w:bodyDiv w:val="1"/>
      <w:marLeft w:val="0"/>
      <w:marRight w:val="0"/>
      <w:marTop w:val="0"/>
      <w:marBottom w:val="0"/>
      <w:divBdr>
        <w:top w:val="none" w:sz="0" w:space="0" w:color="auto"/>
        <w:left w:val="none" w:sz="0" w:space="0" w:color="auto"/>
        <w:bottom w:val="none" w:sz="0" w:space="0" w:color="auto"/>
        <w:right w:val="none" w:sz="0" w:space="0" w:color="auto"/>
      </w:divBdr>
    </w:div>
    <w:div w:id="1465588112">
      <w:bodyDiv w:val="1"/>
      <w:marLeft w:val="0"/>
      <w:marRight w:val="0"/>
      <w:marTop w:val="0"/>
      <w:marBottom w:val="0"/>
      <w:divBdr>
        <w:top w:val="none" w:sz="0" w:space="0" w:color="auto"/>
        <w:left w:val="none" w:sz="0" w:space="0" w:color="auto"/>
        <w:bottom w:val="none" w:sz="0" w:space="0" w:color="auto"/>
        <w:right w:val="none" w:sz="0" w:space="0" w:color="auto"/>
      </w:divBdr>
    </w:div>
    <w:div w:id="1865895568">
      <w:bodyDiv w:val="1"/>
      <w:marLeft w:val="0"/>
      <w:marRight w:val="0"/>
      <w:marTop w:val="0"/>
      <w:marBottom w:val="0"/>
      <w:divBdr>
        <w:top w:val="none" w:sz="0" w:space="0" w:color="auto"/>
        <w:left w:val="none" w:sz="0" w:space="0" w:color="auto"/>
        <w:bottom w:val="none" w:sz="0" w:space="0" w:color="auto"/>
        <w:right w:val="none" w:sz="0" w:space="0" w:color="auto"/>
      </w:divBdr>
    </w:div>
    <w:div w:id="2103989188">
      <w:bodyDiv w:val="1"/>
      <w:marLeft w:val="0"/>
      <w:marRight w:val="0"/>
      <w:marTop w:val="0"/>
      <w:marBottom w:val="0"/>
      <w:divBdr>
        <w:top w:val="none" w:sz="0" w:space="0" w:color="auto"/>
        <w:left w:val="none" w:sz="0" w:space="0" w:color="auto"/>
        <w:bottom w:val="none" w:sz="0" w:space="0" w:color="auto"/>
        <w:right w:val="none" w:sz="0" w:space="0" w:color="auto"/>
      </w:divBdr>
      <w:divsChild>
        <w:div w:id="1692953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043924">
      <w:bodyDiv w:val="1"/>
      <w:marLeft w:val="0"/>
      <w:marRight w:val="0"/>
      <w:marTop w:val="0"/>
      <w:marBottom w:val="0"/>
      <w:divBdr>
        <w:top w:val="none" w:sz="0" w:space="0" w:color="auto"/>
        <w:left w:val="none" w:sz="0" w:space="0" w:color="auto"/>
        <w:bottom w:val="none" w:sz="0" w:space="0" w:color="auto"/>
        <w:right w:val="none" w:sz="0" w:space="0" w:color="auto"/>
      </w:divBdr>
      <w:divsChild>
        <w:div w:id="821431971">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nrc.gov/reading-rm/doc-collections/cfr/part020/part020-1901.html" TargetMode="External"/><Relationship Id="rId12" Type="http://schemas.openxmlformats.org/officeDocument/2006/relationships/image" Target="media/image4.jpg"/><Relationship Id="rId17" Type="http://schemas.openxmlformats.org/officeDocument/2006/relationships/hyperlink" Target="https://www.nrc.gov/reading-rm/doc-collections/cfr/part020/part020-1003.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rc.gov/reading-rm/doc-collections/cfr/part020/part020-1904.html" TargetMode="External"/><Relationship Id="rId5" Type="http://schemas.openxmlformats.org/officeDocument/2006/relationships/footnotes" Target="footnotes.xml"/><Relationship Id="rId15" Type="http://schemas.openxmlformats.org/officeDocument/2006/relationships/hyperlink" Target="https://www.nrc.gov/docs/ML1124/ML11245A185.pdf"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7</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Ballard</dc:creator>
  <cp:keywords/>
  <dc:description/>
  <cp:lastModifiedBy>Scott Ballard</cp:lastModifiedBy>
  <cp:revision>14</cp:revision>
  <cp:lastPrinted>2018-01-26T23:38:00Z</cp:lastPrinted>
  <dcterms:created xsi:type="dcterms:W3CDTF">2019-04-25T02:11:00Z</dcterms:created>
  <dcterms:modified xsi:type="dcterms:W3CDTF">2019-04-25T03:17:00Z</dcterms:modified>
</cp:coreProperties>
</file>