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33" w:rsidRDefault="000D4D33" w:rsidP="000B453B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B42BABC" wp14:editId="0A029AD6">
                <wp:simplePos x="0" y="0"/>
                <wp:positionH relativeFrom="margin">
                  <wp:align>center</wp:align>
                </wp:positionH>
                <wp:positionV relativeFrom="page">
                  <wp:posOffset>1165225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4D33" w:rsidRPr="00246CB2" w:rsidRDefault="000D4D33" w:rsidP="000D4D3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6CB2"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Unit #5 Glossary of terms</w:t>
                            </w:r>
                          </w:p>
                          <w:p w:rsidR="000D4D33" w:rsidRPr="00246CB2" w:rsidRDefault="000D4D33" w:rsidP="000D4D3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0D4D33" w:rsidRPr="00246CB2" w:rsidRDefault="000D4D33" w:rsidP="000D4D3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 xml:space="preserve">              </w:t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  <w:t>name</w:t>
                            </w:r>
                            <w:proofErr w:type="gramStart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_______________________date:______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3B42BABC" id="Rectangle 197" o:spid="_x0000_s1026" style="position:absolute;margin-left:0;margin-top:91.75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0D4D33" w:rsidRPr="00246CB2" w:rsidRDefault="000D4D33" w:rsidP="000D4D3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246CB2"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Unit #5 Glossary of terms</w:t>
                      </w:r>
                    </w:p>
                    <w:p w:rsidR="000D4D33" w:rsidRPr="00246CB2" w:rsidRDefault="000D4D33" w:rsidP="000D4D3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0D4D33" w:rsidRPr="00246CB2" w:rsidRDefault="000D4D33" w:rsidP="000D4D3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 xml:space="preserve">              </w:t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  <w:t>name</w:t>
                      </w:r>
                      <w:proofErr w:type="gramStart"/>
                      <w:r w:rsidRPr="00246CB2">
                        <w:rPr>
                          <w:caps/>
                          <w:color w:val="000000" w:themeColor="text1"/>
                        </w:rPr>
                        <w:t>:_</w:t>
                      </w:r>
                      <w:proofErr w:type="gramEnd"/>
                      <w:r w:rsidRPr="00246CB2">
                        <w:rPr>
                          <w:caps/>
                          <w:color w:val="000000" w:themeColor="text1"/>
                        </w:rPr>
                        <w:t>_______________________date:______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0D4D33" w:rsidRDefault="000D4D33" w:rsidP="000B453B"/>
    <w:p w:rsidR="000B453B" w:rsidRDefault="000B453B" w:rsidP="000B453B">
      <w:r>
        <w:t xml:space="preserve">ALARA: Se </w:t>
      </w:r>
      <w:proofErr w:type="spellStart"/>
      <w:r>
        <w:t>requiere</w:t>
      </w:r>
      <w:proofErr w:type="spellEnd"/>
      <w:r>
        <w:t xml:space="preserve"> que el personal que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campo "tan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sea </w:t>
      </w:r>
      <w:proofErr w:type="spellStart"/>
      <w:r>
        <w:t>razonablemente</w:t>
      </w:r>
      <w:proofErr w:type="spellEnd"/>
      <w:r>
        <w:t xml:space="preserve"> </w:t>
      </w:r>
      <w:proofErr w:type="spellStart"/>
      <w:r>
        <w:t>alcanzable</w:t>
      </w:r>
      <w:proofErr w:type="spellEnd"/>
      <w:r>
        <w:t xml:space="preserve">" para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 xml:space="preserve"> ALARA.</w:t>
      </w:r>
    </w:p>
    <w:p w:rsidR="000B453B" w:rsidRDefault="000B453B" w:rsidP="000B453B">
      <w:proofErr w:type="spellStart"/>
      <w:r>
        <w:t>Rayos</w:t>
      </w:r>
      <w:proofErr w:type="spellEnd"/>
      <w:r>
        <w:t xml:space="preserve"> gamma: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electromagnética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y </w:t>
      </w:r>
      <w:proofErr w:type="spellStart"/>
      <w:r>
        <w:t>longitud</w:t>
      </w:r>
      <w:proofErr w:type="spellEnd"/>
      <w:r>
        <w:t xml:space="preserve"> de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desintegración</w:t>
      </w:r>
      <w:proofErr w:type="spellEnd"/>
      <w:r>
        <w:t xml:space="preserve"> </w:t>
      </w:r>
      <w:proofErr w:type="spellStart"/>
      <w:r>
        <w:t>radiactiva</w:t>
      </w:r>
      <w:proofErr w:type="spellEnd"/>
      <w:r>
        <w:t>.</w:t>
      </w:r>
    </w:p>
    <w:p w:rsidR="000B453B" w:rsidRDefault="000B453B" w:rsidP="000B453B">
      <w:proofErr w:type="spellStart"/>
      <w:r>
        <w:t>Radiografía</w:t>
      </w:r>
      <w:proofErr w:type="spellEnd"/>
      <w:r>
        <w:t xml:space="preserve"> gamma: las </w:t>
      </w:r>
      <w:proofErr w:type="spellStart"/>
      <w:r>
        <w:t>radiografías</w:t>
      </w:r>
      <w:proofErr w:type="spellEnd"/>
      <w:r>
        <w:t xml:space="preserve"> (</w:t>
      </w:r>
      <w:proofErr w:type="spellStart"/>
      <w:r>
        <w:t>película</w:t>
      </w:r>
      <w:proofErr w:type="spellEnd"/>
      <w:r>
        <w:t xml:space="preserve">, </w:t>
      </w:r>
      <w:proofErr w:type="spellStart"/>
      <w:r>
        <w:t>placas</w:t>
      </w:r>
      <w:proofErr w:type="spellEnd"/>
      <w:r>
        <w:t xml:space="preserve"> DDA y </w:t>
      </w:r>
      <w:proofErr w:type="spellStart"/>
      <w:r>
        <w:t>placas</w:t>
      </w:r>
      <w:proofErr w:type="spellEnd"/>
      <w:r>
        <w:t xml:space="preserve"> CR) se </w:t>
      </w:r>
      <w:proofErr w:type="spellStart"/>
      <w:r>
        <w:t>exponen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cámara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gamma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de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radiografías</w:t>
      </w:r>
      <w:proofErr w:type="spellEnd"/>
      <w:r>
        <w:t xml:space="preserve">,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portátil</w:t>
      </w:r>
      <w:proofErr w:type="spellEnd"/>
      <w:r>
        <w:t xml:space="preserve">, </w:t>
      </w:r>
      <w:proofErr w:type="spellStart"/>
      <w:r>
        <w:t>fijada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gabinete</w:t>
      </w:r>
      <w:proofErr w:type="spellEnd"/>
      <w:r>
        <w:t xml:space="preserve"> o </w:t>
      </w:r>
      <w:proofErr w:type="spellStart"/>
      <w:r>
        <w:t>ubicada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bóveda</w:t>
      </w:r>
      <w:proofErr w:type="spellEnd"/>
      <w:r>
        <w:t>.</w:t>
      </w:r>
    </w:p>
    <w:p w:rsidR="000B453B" w:rsidRDefault="000B453B" w:rsidP="000B453B">
      <w:r>
        <w:t>Fuente gamma (</w:t>
      </w:r>
      <w:proofErr w:type="spellStart"/>
      <w:r>
        <w:t>fuente</w:t>
      </w:r>
      <w:proofErr w:type="spellEnd"/>
      <w:r>
        <w:t xml:space="preserve">): la </w:t>
      </w:r>
      <w:proofErr w:type="spellStart"/>
      <w:r>
        <w:t>radiografía</w:t>
      </w:r>
      <w:proofErr w:type="spellEnd"/>
      <w:r>
        <w:t xml:space="preserve"> gamma industrial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hombre (</w:t>
      </w:r>
      <w:proofErr w:type="spellStart"/>
      <w:r>
        <w:t>activada</w:t>
      </w:r>
      <w:proofErr w:type="spellEnd"/>
      <w:r>
        <w:t xml:space="preserve">) (Cobalt-60, Iridium-192 y Cesium-137).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se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para fines </w:t>
      </w:r>
      <w:proofErr w:type="spellStart"/>
      <w:r>
        <w:t>específicos</w:t>
      </w:r>
      <w:proofErr w:type="spellEnd"/>
      <w:r>
        <w:t xml:space="preserve"> y </w:t>
      </w:r>
      <w:proofErr w:type="spellStart"/>
      <w:r>
        <w:t>aplicaciones</w:t>
      </w:r>
      <w:proofErr w:type="spellEnd"/>
      <w:r>
        <w:t>.</w:t>
      </w:r>
    </w:p>
    <w:p w:rsidR="000B453B" w:rsidRDefault="000B453B" w:rsidP="000B453B">
      <w:r>
        <w:t xml:space="preserve">Vida media: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para que la </w:t>
      </w:r>
      <w:proofErr w:type="spellStart"/>
      <w:r>
        <w:t>mitad</w:t>
      </w:r>
      <w:proofErr w:type="spellEnd"/>
      <w:r>
        <w:t xml:space="preserve"> del </w:t>
      </w:r>
      <w:proofErr w:type="spellStart"/>
      <w:r>
        <w:t>número</w:t>
      </w:r>
      <w:proofErr w:type="spellEnd"/>
      <w:r>
        <w:t xml:space="preserve"> original de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radiactivos</w:t>
      </w:r>
      <w:proofErr w:type="spellEnd"/>
      <w:r>
        <w:t xml:space="preserve"> se </w:t>
      </w:r>
      <w:proofErr w:type="spellStart"/>
      <w:r>
        <w:t>descomponga</w:t>
      </w:r>
      <w:proofErr w:type="spellEnd"/>
      <w:r>
        <w:t xml:space="preserve"> o se </w:t>
      </w:r>
      <w:proofErr w:type="spellStart"/>
      <w:r>
        <w:t>convierta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 </w:t>
      </w:r>
      <w:proofErr w:type="spellStart"/>
      <w:r>
        <w:t>hijos</w:t>
      </w:r>
      <w:proofErr w:type="spellEnd"/>
      <w:r>
        <w:t>.</w:t>
      </w:r>
    </w:p>
    <w:p w:rsidR="000B453B" w:rsidRDefault="000B453B" w:rsidP="000B453B">
      <w:r>
        <w:t xml:space="preserve">Half-Life </w:t>
      </w:r>
      <w:proofErr w:type="spellStart"/>
      <w:r>
        <w:t>Ir</w:t>
      </w:r>
      <w:proofErr w:type="spellEnd"/>
      <w:r>
        <w:t xml:space="preserve"> 192: 74 </w:t>
      </w:r>
      <w:proofErr w:type="spellStart"/>
      <w:r>
        <w:t>días</w:t>
      </w:r>
      <w:proofErr w:type="spellEnd"/>
    </w:p>
    <w:p w:rsidR="000B453B" w:rsidRDefault="000B453B" w:rsidP="000B453B">
      <w:r>
        <w:t xml:space="preserve">Half-Life Co 60: 5,3 </w:t>
      </w:r>
      <w:proofErr w:type="spellStart"/>
      <w:r>
        <w:t>años</w:t>
      </w:r>
      <w:proofErr w:type="spellEnd"/>
    </w:p>
    <w:p w:rsidR="000B453B" w:rsidRDefault="000B453B" w:rsidP="000B453B">
      <w:r>
        <w:t xml:space="preserve">Half-Life Cs 137: 30.17 </w:t>
      </w:r>
      <w:proofErr w:type="spellStart"/>
      <w:r>
        <w:t>años</w:t>
      </w:r>
      <w:proofErr w:type="spellEnd"/>
    </w:p>
    <w:p w:rsidR="000B453B" w:rsidRDefault="000B453B" w:rsidP="000B453B">
      <w:r>
        <w:t> </w:t>
      </w:r>
      <w:proofErr w:type="spellStart"/>
      <w:r>
        <w:t>Calculadora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media: </w:t>
      </w:r>
      <w:hyperlink r:id="rId4" w:history="1">
        <w:r w:rsidR="000D4D33" w:rsidRPr="00D677D3">
          <w:rPr>
            <w:rStyle w:val="Hyperlink"/>
          </w:rPr>
          <w:t>https://www.calculator.net/half-life-calculator.html</w:t>
        </w:r>
      </w:hyperlink>
      <w:r w:rsidR="000D4D33">
        <w:t xml:space="preserve"> </w:t>
      </w:r>
    </w:p>
    <w:p w:rsidR="000B453B" w:rsidRDefault="000B453B" w:rsidP="000B453B">
      <w:r>
        <w:t xml:space="preserve">Vida media </w:t>
      </w:r>
      <w:proofErr w:type="spellStart"/>
      <w:r>
        <w:t>biológica</w:t>
      </w:r>
      <w:proofErr w:type="spellEnd"/>
      <w:r>
        <w:t xml:space="preserve">: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 xml:space="preserve"> para que la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sustancia</w:t>
      </w:r>
      <w:proofErr w:type="spellEnd"/>
      <w:r>
        <w:t xml:space="preserve"> </w:t>
      </w:r>
      <w:proofErr w:type="spellStart"/>
      <w:r>
        <w:t>radiactiva</w:t>
      </w:r>
      <w:proofErr w:type="spellEnd"/>
      <w:r>
        <w:t xml:space="preserve"> sea </w:t>
      </w:r>
      <w:proofErr w:type="spellStart"/>
      <w:r>
        <w:t>eliminada</w:t>
      </w:r>
      <w:proofErr w:type="spellEnd"/>
      <w:r>
        <w:t xml:space="preserve"> (de </w:t>
      </w:r>
      <w:proofErr w:type="gramStart"/>
      <w:r>
        <w:t>un</w:t>
      </w:r>
      <w:proofErr w:type="gram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)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 (</w:t>
      </w:r>
      <w:proofErr w:type="spellStart"/>
      <w:r>
        <w:t>micción</w:t>
      </w:r>
      <w:proofErr w:type="spellEnd"/>
      <w:r>
        <w:t xml:space="preserve">, </w:t>
      </w:r>
      <w:proofErr w:type="spellStart"/>
      <w:r>
        <w:t>sudoración</w:t>
      </w:r>
      <w:proofErr w:type="spellEnd"/>
      <w:r>
        <w:t xml:space="preserve">, </w:t>
      </w:r>
      <w:proofErr w:type="spellStart"/>
      <w:r>
        <w:t>evacuaciones</w:t>
      </w:r>
      <w:proofErr w:type="spellEnd"/>
      <w:r>
        <w:t xml:space="preserve"> </w:t>
      </w:r>
      <w:proofErr w:type="spellStart"/>
      <w:r>
        <w:t>intestinales</w:t>
      </w:r>
      <w:proofErr w:type="spellEnd"/>
      <w:r>
        <w:t xml:space="preserve">, </w:t>
      </w:r>
      <w:proofErr w:type="spellStart"/>
      <w:r>
        <w:t>vómitos</w:t>
      </w:r>
      <w:proofErr w:type="spellEnd"/>
      <w:r>
        <w:t>)</w:t>
      </w:r>
    </w:p>
    <w:p w:rsidR="000B453B" w:rsidRDefault="000B453B" w:rsidP="000B453B">
      <w:r>
        <w:t xml:space="preserve">HVL (Half Value Layer): la </w:t>
      </w:r>
      <w:proofErr w:type="spellStart"/>
      <w:r>
        <w:t>cantidad</w:t>
      </w:r>
      <w:proofErr w:type="spellEnd"/>
      <w:r>
        <w:t xml:space="preserve"> (</w:t>
      </w:r>
      <w:proofErr w:type="spellStart"/>
      <w:r>
        <w:t>grosor</w:t>
      </w:r>
      <w:proofErr w:type="spellEnd"/>
      <w:r>
        <w:t xml:space="preserve">) de un material de </w:t>
      </w:r>
      <w:proofErr w:type="spellStart"/>
      <w:r>
        <w:t>blindaje</w:t>
      </w:r>
      <w:proofErr w:type="spellEnd"/>
      <w:r>
        <w:t xml:space="preserve"> dado que se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reducir</w:t>
      </w:r>
      <w:proofErr w:type="spellEnd"/>
      <w:r>
        <w:t xml:space="preserve"> la </w:t>
      </w:r>
      <w:proofErr w:type="spellStart"/>
      <w:r>
        <w:t>emisividad</w:t>
      </w:r>
      <w:proofErr w:type="spellEnd"/>
      <w:r>
        <w:t xml:space="preserve"> de la </w:t>
      </w:r>
      <w:proofErr w:type="spellStart"/>
      <w:r>
        <w:t>radiación</w:t>
      </w:r>
      <w:proofErr w:type="spellEnd"/>
      <w:r>
        <w:t xml:space="preserve"> a la </w:t>
      </w:r>
      <w:proofErr w:type="spellStart"/>
      <w:r>
        <w:t>mitad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valor.</w:t>
      </w:r>
    </w:p>
    <w:p w:rsidR="000B453B" w:rsidRDefault="000B453B" w:rsidP="000B453B">
      <w:proofErr w:type="spellStart"/>
      <w:r>
        <w:t>Fórmula</w:t>
      </w:r>
      <w:proofErr w:type="spellEnd"/>
      <w:r>
        <w:t xml:space="preserve"> HVL: Io = Id. De </w:t>
      </w:r>
      <w:proofErr w:type="spellStart"/>
      <w:r>
        <w:t>intensidad</w:t>
      </w:r>
      <w:proofErr w:type="spellEnd"/>
      <w:r>
        <w:t xml:space="preserve"> original = </w:t>
      </w:r>
      <w:proofErr w:type="spellStart"/>
      <w:r>
        <w:t>Intensidad</w:t>
      </w:r>
      <w:proofErr w:type="spellEnd"/>
      <w:r>
        <w:t xml:space="preserve"> </w:t>
      </w:r>
      <w:proofErr w:type="spellStart"/>
      <w:r>
        <w:t>deseada</w:t>
      </w:r>
      <w:proofErr w:type="spellEnd"/>
    </w:p>
    <w:p w:rsidR="000B453B" w:rsidRDefault="000B453B" w:rsidP="000B453B">
      <w:r>
        <w:t>Log [Io / Id] / Log2</w:t>
      </w:r>
      <w:bookmarkStart w:id="0" w:name="_GoBack"/>
      <w:bookmarkEnd w:id="0"/>
    </w:p>
    <w:p w:rsidR="000B453B" w:rsidRDefault="000B453B" w:rsidP="000B453B">
      <w:proofErr w:type="spellStart"/>
      <w:r>
        <w:t>Radiación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: 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radiación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romper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átomos</w:t>
      </w:r>
      <w:proofErr w:type="spellEnd"/>
      <w:r>
        <w:t xml:space="preserve"> y las </w:t>
      </w:r>
      <w:proofErr w:type="spellStart"/>
      <w:r>
        <w:t>moléculas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pasan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a </w:t>
      </w:r>
      <w:proofErr w:type="spellStart"/>
      <w:r>
        <w:t>iones</w:t>
      </w:r>
      <w:proofErr w:type="spellEnd"/>
      <w:r>
        <w:t xml:space="preserve"> y </w:t>
      </w:r>
      <w:proofErr w:type="spellStart"/>
      <w:r>
        <w:t>radicales</w:t>
      </w:r>
      <w:proofErr w:type="spellEnd"/>
      <w:r>
        <w:t xml:space="preserve"> </w:t>
      </w:r>
      <w:proofErr w:type="spellStart"/>
      <w:r>
        <w:t>libres</w:t>
      </w:r>
      <w:proofErr w:type="spellEnd"/>
      <w:r>
        <w:t>.</w:t>
      </w:r>
    </w:p>
    <w:p w:rsidR="00F82F8B" w:rsidRDefault="000B453B" w:rsidP="000B453B">
      <w:proofErr w:type="spellStart"/>
      <w:r>
        <w:t>Tiempo</w:t>
      </w:r>
      <w:proofErr w:type="spellEnd"/>
      <w:r>
        <w:t xml:space="preserve">, </w:t>
      </w:r>
      <w:proofErr w:type="spellStart"/>
      <w:r>
        <w:t>distancia</w:t>
      </w:r>
      <w:proofErr w:type="spellEnd"/>
      <w:r>
        <w:t xml:space="preserve"> y </w:t>
      </w:r>
      <w:proofErr w:type="spellStart"/>
      <w:r>
        <w:t>protección</w:t>
      </w:r>
      <w:proofErr w:type="spellEnd"/>
      <w:r>
        <w:t xml:space="preserve">: </w:t>
      </w:r>
      <w:proofErr w:type="spellStart"/>
      <w:r>
        <w:t>Estos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de la </w:t>
      </w:r>
      <w:proofErr w:type="spellStart"/>
      <w:r>
        <w:t>radiación</w:t>
      </w:r>
      <w:proofErr w:type="spellEnd"/>
      <w:r>
        <w:t xml:space="preserve"> y la </w:t>
      </w:r>
      <w:proofErr w:type="spellStart"/>
      <w:r>
        <w:t>doctrina</w:t>
      </w:r>
      <w:proofErr w:type="spellEnd"/>
      <w:r>
        <w:t xml:space="preserve"> ALARA.</w:t>
      </w:r>
    </w:p>
    <w:sectPr w:rsidR="00F8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3B"/>
    <w:rsid w:val="000B453B"/>
    <w:rsid w:val="000D4D33"/>
    <w:rsid w:val="00F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5938"/>
  <w15:chartTrackingRefBased/>
  <w15:docId w15:val="{9A16DDD6-58F5-4419-8517-AC98E6F0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33"/>
  </w:style>
  <w:style w:type="character" w:styleId="Hyperlink">
    <w:name w:val="Hyperlink"/>
    <w:basedOn w:val="DefaultParagraphFont"/>
    <w:uiPriority w:val="99"/>
    <w:unhideWhenUsed/>
    <w:rsid w:val="000D4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culator.net/half-life-calcula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2019-04-13T17:43:00Z</dcterms:created>
  <dcterms:modified xsi:type="dcterms:W3CDTF">2019-05-11T00:28:00Z</dcterms:modified>
</cp:coreProperties>
</file>