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D7" w:rsidRDefault="00E61DD7" w:rsidP="00E57FA2">
      <w:r w:rsidRPr="00534C32">
        <w:rPr>
          <w:b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6CBC4E5" wp14:editId="424D4974">
                <wp:simplePos x="0" y="0"/>
                <wp:positionH relativeFrom="margin">
                  <wp:align>center</wp:align>
                </wp:positionH>
                <wp:positionV relativeFrom="page">
                  <wp:posOffset>1133475</wp:posOffset>
                </wp:positionV>
                <wp:extent cx="7068820" cy="269875"/>
                <wp:effectExtent l="0" t="0" r="0" b="444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820" cy="2698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7E6E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E7E6E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E7E6E6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1DD7" w:rsidRPr="00246CB2" w:rsidRDefault="00E61DD7" w:rsidP="00E61DD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week 6 Lecture notes</w:t>
                            </w:r>
                          </w:p>
                          <w:p w:rsidR="00E61DD7" w:rsidRPr="00246CB2" w:rsidRDefault="00E61DD7" w:rsidP="00E61DD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 w:rsidRPr="00246CB2">
                              <w:rPr>
                                <w:caps/>
                                <w:color w:val="000000" w:themeColor="text1"/>
                              </w:rPr>
                              <w:t>j.s. ballard</w:t>
                            </w:r>
                          </w:p>
                          <w:p w:rsidR="00E61DD7" w:rsidRPr="00246CB2" w:rsidRDefault="00E61DD7" w:rsidP="00E61DD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</w:rPr>
                              <w:t xml:space="preserve"> X-ray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6CBC4E5" id="Rectangle 197" o:spid="_x0000_s1026" style="position:absolute;margin-left:0;margin-top:89.25pt;width:556.6pt;height:21.25pt;z-index:-251657216;visibility:visible;mso-wrap-style:square;mso-width-percent:0;mso-height-percent:27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" o:allowoverlap="f" fillcolor="#868686" stroked="f" strokeweight="1pt">
                <v:fill color2="#e7e6e6" rotate="t" colors="0 #868686;.5 #c2c1c1;1 #e7e6e6" focus="100%" type="gradient"/>
                <v:textbox style="mso-fit-shape-to-text:t">
                  <w:txbxContent>
                    <w:p w:rsidR="00E61DD7" w:rsidRPr="00246CB2" w:rsidRDefault="00E61DD7" w:rsidP="00E61DD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week 6 Lecture notes</w:t>
                      </w:r>
                    </w:p>
                    <w:p w:rsidR="00E61DD7" w:rsidRPr="00246CB2" w:rsidRDefault="00E61DD7" w:rsidP="00E61DD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 w:rsidRPr="00246CB2">
                        <w:rPr>
                          <w:caps/>
                          <w:color w:val="000000" w:themeColor="text1"/>
                        </w:rPr>
                        <w:t>j.s. ballard</w:t>
                      </w:r>
                    </w:p>
                    <w:p w:rsidR="00E61DD7" w:rsidRPr="00246CB2" w:rsidRDefault="00E61DD7" w:rsidP="00E61DD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000000" w:themeColor="text1"/>
                        </w:rPr>
                      </w:pPr>
                      <w:r>
                        <w:rPr>
                          <w:caps/>
                          <w:color w:val="000000" w:themeColor="text1"/>
                        </w:rPr>
                        <w:t xml:space="preserve"> X-ray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E61DD7" w:rsidRDefault="00E61DD7" w:rsidP="00E57FA2"/>
    <w:p w:rsidR="00E57FA2" w:rsidRDefault="00E57FA2" w:rsidP="00E57FA2">
      <w:proofErr w:type="spellStart"/>
      <w:r>
        <w:t>Rayos</w:t>
      </w:r>
      <w:proofErr w:type="spellEnd"/>
      <w:r>
        <w:t xml:space="preserve"> X: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X, </w:t>
      </w:r>
      <w:proofErr w:type="spellStart"/>
      <w:r>
        <w:t>descubiertos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Wilhelm Conrad Roentgen </w:t>
      </w:r>
      <w:proofErr w:type="spellStart"/>
      <w:r>
        <w:t>en</w:t>
      </w:r>
      <w:proofErr w:type="spellEnd"/>
      <w:r>
        <w:t xml:space="preserve"> 1895, se </w:t>
      </w:r>
      <w:proofErr w:type="spellStart"/>
      <w:r>
        <w:t>utilizan</w:t>
      </w:r>
      <w:proofErr w:type="spellEnd"/>
      <w:r>
        <w:t xml:space="preserve">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de la </w:t>
      </w:r>
      <w:proofErr w:type="spellStart"/>
      <w:r>
        <w:t>radiografía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e industrial. Los </w:t>
      </w:r>
      <w:proofErr w:type="spellStart"/>
      <w:r>
        <w:t>rayos</w:t>
      </w:r>
      <w:proofErr w:type="spellEnd"/>
      <w:r>
        <w:t xml:space="preserve"> X 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fotones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se </w:t>
      </w:r>
      <w:proofErr w:type="spellStart"/>
      <w:r>
        <w:t>generan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 introduce un alto </w:t>
      </w:r>
      <w:proofErr w:type="spellStart"/>
      <w:r>
        <w:t>voltaje</w:t>
      </w:r>
      <w:proofErr w:type="spellEnd"/>
      <w:r>
        <w:t xml:space="preserve"> </w:t>
      </w:r>
      <w:proofErr w:type="spellStart"/>
      <w:r>
        <w:t>eléctrico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tubo</w:t>
      </w:r>
      <w:proofErr w:type="spellEnd"/>
      <w:r>
        <w:t xml:space="preserve"> de </w:t>
      </w:r>
      <w:proofErr w:type="spellStart"/>
      <w:r>
        <w:t>vacío</w:t>
      </w:r>
      <w:proofErr w:type="spellEnd"/>
      <w:r>
        <w:t xml:space="preserve"> especial a </w:t>
      </w:r>
      <w:proofErr w:type="spellStart"/>
      <w:r>
        <w:t>través</w:t>
      </w:r>
      <w:proofErr w:type="spellEnd"/>
      <w:r>
        <w:t xml:space="preserve"> de un </w:t>
      </w:r>
      <w:proofErr w:type="spellStart"/>
      <w:r>
        <w:t>cátodo</w:t>
      </w:r>
      <w:proofErr w:type="spellEnd"/>
      <w:r>
        <w:t xml:space="preserve"> </w:t>
      </w:r>
      <w:proofErr w:type="spellStart"/>
      <w:r>
        <w:t>caliente</w:t>
      </w:r>
      <w:proofErr w:type="spellEnd"/>
      <w:r>
        <w:t xml:space="preserve">. Los </w:t>
      </w:r>
      <w:proofErr w:type="spellStart"/>
      <w:r>
        <w:t>electrones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energía</w:t>
      </w:r>
      <w:proofErr w:type="spellEnd"/>
      <w:r>
        <w:t xml:space="preserve"> se </w:t>
      </w:r>
      <w:proofErr w:type="spellStart"/>
      <w:r>
        <w:t>dirigen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un </w:t>
      </w:r>
      <w:proofErr w:type="spellStart"/>
      <w:r>
        <w:t>ánodo</w:t>
      </w:r>
      <w:proofErr w:type="spellEnd"/>
      <w:r>
        <w:t xml:space="preserve"> </w:t>
      </w:r>
      <w:proofErr w:type="spellStart"/>
      <w:r>
        <w:t>metálico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un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tungsteno</w:t>
      </w:r>
      <w:proofErr w:type="spellEnd"/>
      <w:r>
        <w:t xml:space="preserve">,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electrones</w:t>
      </w:r>
      <w:proofErr w:type="spellEnd"/>
      <w:r>
        <w:t xml:space="preserve"> </w:t>
      </w:r>
      <w:proofErr w:type="spellStart"/>
      <w:r>
        <w:t>chocan</w:t>
      </w:r>
      <w:proofErr w:type="spellEnd"/>
      <w:r>
        <w:t xml:space="preserve"> con el </w:t>
      </w:r>
      <w:proofErr w:type="spellStart"/>
      <w:r>
        <w:t>ánodo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fotones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se </w:t>
      </w:r>
      <w:proofErr w:type="spellStart"/>
      <w:r>
        <w:t>generan</w:t>
      </w:r>
      <w:proofErr w:type="spellEnd"/>
      <w:r>
        <w:t xml:space="preserve"> y </w:t>
      </w:r>
      <w:proofErr w:type="spellStart"/>
      <w:r>
        <w:t>apuntan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y </w:t>
      </w:r>
      <w:proofErr w:type="spellStart"/>
      <w:r>
        <w:t>patrón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gabinete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o </w:t>
      </w:r>
      <w:proofErr w:type="spellStart"/>
      <w:r>
        <w:t>bóveda</w:t>
      </w:r>
      <w:proofErr w:type="spellEnd"/>
      <w:r>
        <w:t>.</w:t>
      </w:r>
    </w:p>
    <w:p w:rsidR="00E57FA2" w:rsidRDefault="00E57FA2" w:rsidP="00E57FA2">
      <w:r>
        <w:t xml:space="preserve">Los </w:t>
      </w:r>
      <w:proofErr w:type="spellStart"/>
      <w:r>
        <w:t>fotones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</w:t>
      </w:r>
      <w:proofErr w:type="spellStart"/>
      <w:r>
        <w:t>resultantes</w:t>
      </w:r>
      <w:proofErr w:type="spellEnd"/>
      <w:r>
        <w:t xml:space="preserve">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 no </w:t>
      </w:r>
      <w:proofErr w:type="spellStart"/>
      <w:r>
        <w:t>particulada</w:t>
      </w:r>
      <w:proofErr w:type="spellEnd"/>
      <w:r>
        <w:t xml:space="preserve"> con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penetrar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materia</w:t>
      </w:r>
      <w:proofErr w:type="spellEnd"/>
      <w:r>
        <w:t xml:space="preserve">. Los </w:t>
      </w:r>
      <w:proofErr w:type="spellStart"/>
      <w:r>
        <w:t>rayos</w:t>
      </w:r>
      <w:proofErr w:type="spellEnd"/>
      <w:r>
        <w:t xml:space="preserve"> X del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energía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absorbidos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material </w:t>
      </w:r>
      <w:proofErr w:type="spellStart"/>
      <w:r>
        <w:t>denso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 con el material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denso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el </w:t>
      </w:r>
      <w:proofErr w:type="spellStart"/>
      <w:r>
        <w:t>plomo</w:t>
      </w:r>
      <w:proofErr w:type="spellEnd"/>
      <w:r>
        <w:t xml:space="preserve">, el </w:t>
      </w:r>
      <w:proofErr w:type="spellStart"/>
      <w:r>
        <w:t>tungsteno</w:t>
      </w:r>
      <w:proofErr w:type="spellEnd"/>
      <w:r>
        <w:t xml:space="preserve"> y el </w:t>
      </w:r>
      <w:proofErr w:type="spellStart"/>
      <w:r>
        <w:t>concreto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la </w:t>
      </w:r>
      <w:proofErr w:type="spellStart"/>
      <w:r>
        <w:t>radiación</w:t>
      </w:r>
      <w:proofErr w:type="spellEnd"/>
      <w:r>
        <w:t xml:space="preserve">. Pero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X (y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rayos</w:t>
      </w:r>
      <w:proofErr w:type="spellEnd"/>
      <w:r>
        <w:t xml:space="preserve"> gamma) son invisibles, no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olor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sabor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expuestos</w:t>
      </w:r>
      <w:proofErr w:type="spellEnd"/>
      <w:r>
        <w:t xml:space="preserve"> a la </w:t>
      </w:r>
      <w:proofErr w:type="spellStart"/>
      <w:r>
        <w:t>radiación</w:t>
      </w:r>
      <w:proofErr w:type="spellEnd"/>
      <w:r>
        <w:t xml:space="preserve"> </w:t>
      </w:r>
      <w:proofErr w:type="spellStart"/>
      <w:r>
        <w:t>ionizante</w:t>
      </w:r>
      <w:proofErr w:type="spellEnd"/>
      <w:r>
        <w:t xml:space="preserve">? Mire </w:t>
      </w:r>
      <w:proofErr w:type="spellStart"/>
      <w:r>
        <w:t>hacia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 a las </w:t>
      </w:r>
      <w:proofErr w:type="spellStart"/>
      <w:r>
        <w:t>unidades</w:t>
      </w:r>
      <w:proofErr w:type="spellEnd"/>
      <w:r>
        <w:t xml:space="preserve"> 8 y 9 para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de </w:t>
      </w:r>
      <w:proofErr w:type="spellStart"/>
      <w:r>
        <w:t>monitoreo</w:t>
      </w:r>
      <w:proofErr w:type="spellEnd"/>
      <w:r>
        <w:t xml:space="preserve"> de </w:t>
      </w:r>
      <w:proofErr w:type="spellStart"/>
      <w:r>
        <w:t>radiación</w:t>
      </w:r>
      <w:proofErr w:type="spellEnd"/>
      <w:r>
        <w:t xml:space="preserve"> que se </w:t>
      </w:r>
      <w:proofErr w:type="spellStart"/>
      <w:r>
        <w:t>usan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a las personas </w:t>
      </w:r>
      <w:proofErr w:type="spellStart"/>
      <w:r>
        <w:t>seguras</w:t>
      </w:r>
      <w:proofErr w:type="spellEnd"/>
      <w:r>
        <w:t xml:space="preserve"> y </w:t>
      </w:r>
      <w:proofErr w:type="spellStart"/>
      <w:r>
        <w:t>mantener</w:t>
      </w:r>
      <w:proofErr w:type="spellEnd"/>
      <w:r>
        <w:t xml:space="preserve"> ALARA.</w:t>
      </w:r>
    </w:p>
    <w:p w:rsidR="00E57FA2" w:rsidRDefault="00E57FA2" w:rsidP="00E57FA2">
      <w:proofErr w:type="spellStart"/>
      <w:r>
        <w:t>Cuando</w:t>
      </w:r>
      <w:proofErr w:type="spellEnd"/>
      <w:r>
        <w:t xml:space="preserve"> se opera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industrial, el </w:t>
      </w:r>
      <w:proofErr w:type="spellStart"/>
      <w:r>
        <w:t>radiólogo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I o </w:t>
      </w:r>
      <w:proofErr w:type="spellStart"/>
      <w:r>
        <w:t>Nivel</w:t>
      </w:r>
      <w:proofErr w:type="spellEnd"/>
      <w:r>
        <w:t xml:space="preserve"> II </w:t>
      </w:r>
      <w:proofErr w:type="spellStart"/>
      <w:r>
        <w:t>seguirá</w:t>
      </w:r>
      <w:proofErr w:type="spellEnd"/>
      <w:r>
        <w:t xml:space="preserve">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llamado</w:t>
      </w:r>
      <w:proofErr w:type="spellEnd"/>
      <w:r>
        <w:t xml:space="preserve"> "</w:t>
      </w:r>
      <w:proofErr w:type="spellStart"/>
      <w:r>
        <w:t>técnica</w:t>
      </w:r>
      <w:proofErr w:type="spellEnd"/>
      <w:r>
        <w:t xml:space="preserve">"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radiografía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de </w:t>
      </w:r>
      <w:proofErr w:type="spellStart"/>
      <w:r>
        <w:t>fundición</w:t>
      </w:r>
      <w:proofErr w:type="spellEnd"/>
      <w:r>
        <w:t xml:space="preserve">, </w:t>
      </w:r>
      <w:proofErr w:type="spellStart"/>
      <w:r>
        <w:t>forja</w:t>
      </w:r>
      <w:proofErr w:type="spellEnd"/>
      <w:r>
        <w:t xml:space="preserve">, </w:t>
      </w:r>
      <w:proofErr w:type="spellStart"/>
      <w:r>
        <w:t>soldadura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parte </w:t>
      </w:r>
      <w:proofErr w:type="spellStart"/>
      <w:r>
        <w:t>en</w:t>
      </w:r>
      <w:proofErr w:type="spellEnd"/>
      <w:r>
        <w:t xml:space="preserve"> particular. Los </w:t>
      </w:r>
      <w:proofErr w:type="spellStart"/>
      <w:r>
        <w:t>ajustes</w:t>
      </w:r>
      <w:proofErr w:type="spellEnd"/>
      <w:r>
        <w:t xml:space="preserve"> y </w:t>
      </w:r>
      <w:proofErr w:type="spellStart"/>
      <w:r>
        <w:t>ajustes</w:t>
      </w:r>
      <w:proofErr w:type="spellEnd"/>
      <w:r>
        <w:t xml:space="preserve"> del </w:t>
      </w:r>
      <w:proofErr w:type="spellStart"/>
      <w:r>
        <w:t>tubo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 </w:t>
      </w:r>
      <w:proofErr w:type="spellStart"/>
      <w:r>
        <w:t>incluirán</w:t>
      </w:r>
      <w:proofErr w:type="spellEnd"/>
      <w:r>
        <w:t xml:space="preserve"> </w:t>
      </w:r>
      <w:proofErr w:type="spellStart"/>
      <w:r>
        <w:t>Kilovoltaje</w:t>
      </w:r>
      <w:proofErr w:type="spellEnd"/>
      <w:r>
        <w:t xml:space="preserve"> (kV), </w:t>
      </w:r>
      <w:proofErr w:type="spellStart"/>
      <w:r>
        <w:t>miliamperaje</w:t>
      </w:r>
      <w:proofErr w:type="spellEnd"/>
      <w:r>
        <w:t xml:space="preserve"> (mA) y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generalmente</w:t>
      </w:r>
      <w:proofErr w:type="spellEnd"/>
      <w:r>
        <w:t xml:space="preserve"> </w:t>
      </w:r>
      <w:proofErr w:type="spellStart"/>
      <w:r>
        <w:t>medido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segundos</w:t>
      </w:r>
      <w:proofErr w:type="spellEnd"/>
      <w:r>
        <w:t xml:space="preserve"> o </w:t>
      </w:r>
      <w:proofErr w:type="spellStart"/>
      <w:r>
        <w:t>minutos</w:t>
      </w:r>
      <w:proofErr w:type="spellEnd"/>
      <w:r>
        <w:t xml:space="preserve">. Hay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ajustes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fuente</w:t>
      </w:r>
      <w:proofErr w:type="spellEnd"/>
      <w:r>
        <w:t xml:space="preserve"> a </w:t>
      </w:r>
      <w:proofErr w:type="spellStart"/>
      <w:r>
        <w:t>película</w:t>
      </w:r>
      <w:proofErr w:type="spellEnd"/>
      <w:r>
        <w:t xml:space="preserve">: </w:t>
      </w:r>
      <w:proofErr w:type="spellStart"/>
      <w:r>
        <w:t>distancia</w:t>
      </w:r>
      <w:proofErr w:type="spellEnd"/>
      <w:r>
        <w:t xml:space="preserve"> (SFD), </w:t>
      </w:r>
      <w:proofErr w:type="spellStart"/>
      <w:r>
        <w:t>fijación</w:t>
      </w:r>
      <w:proofErr w:type="spellEnd"/>
      <w:r>
        <w:t xml:space="preserve"> de la </w:t>
      </w:r>
      <w:proofErr w:type="spellStart"/>
      <w:r>
        <w:t>pieza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ángulos</w:t>
      </w:r>
      <w:proofErr w:type="spellEnd"/>
      <w:r>
        <w:t xml:space="preserve"> y </w:t>
      </w:r>
      <w:proofErr w:type="spellStart"/>
      <w:r>
        <w:t>orientación</w:t>
      </w:r>
      <w:proofErr w:type="spellEnd"/>
      <w:r>
        <w:t xml:space="preserve"> de la </w:t>
      </w:r>
      <w:proofErr w:type="spellStart"/>
      <w:r>
        <w:t>pieza</w:t>
      </w:r>
      <w:proofErr w:type="spellEnd"/>
      <w:r>
        <w:t xml:space="preserve"> </w:t>
      </w:r>
      <w:proofErr w:type="spellStart"/>
      <w:r>
        <w:t>especificados</w:t>
      </w:r>
      <w:proofErr w:type="spellEnd"/>
      <w:r>
        <w:t xml:space="preserve">, </w:t>
      </w:r>
      <w:proofErr w:type="spellStart"/>
      <w:r>
        <w:t>indicadores</w:t>
      </w:r>
      <w:proofErr w:type="spellEnd"/>
      <w:r>
        <w:t xml:space="preserve"> de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imagen</w:t>
      </w:r>
      <w:proofErr w:type="spellEnd"/>
      <w:r>
        <w:t xml:space="preserve"> (IQI) y mucho </w:t>
      </w:r>
      <w:proofErr w:type="spellStart"/>
      <w:r>
        <w:t>más</w:t>
      </w:r>
      <w:proofErr w:type="spellEnd"/>
      <w:r>
        <w:t xml:space="preserve">. A </w:t>
      </w:r>
      <w:proofErr w:type="spellStart"/>
      <w:r>
        <w:t>medida</w:t>
      </w:r>
      <w:proofErr w:type="spellEnd"/>
      <w:r>
        <w:t xml:space="preserve"> que </w:t>
      </w:r>
      <w:proofErr w:type="spellStart"/>
      <w:r>
        <w:t>aumentan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valores</w:t>
      </w:r>
      <w:proofErr w:type="spellEnd"/>
      <w:r>
        <w:t xml:space="preserve"> de kV y mA,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aumenta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y la </w:t>
      </w:r>
      <w:proofErr w:type="spellStart"/>
      <w:r>
        <w:t>intensidad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fotones</w:t>
      </w:r>
      <w:proofErr w:type="spellEnd"/>
      <w:r>
        <w:t xml:space="preserve"> de </w:t>
      </w:r>
      <w:proofErr w:type="spellStart"/>
      <w:r>
        <w:t>rayos</w:t>
      </w:r>
      <w:proofErr w:type="spellEnd"/>
      <w:r>
        <w:t xml:space="preserve"> X.</w:t>
      </w:r>
    </w:p>
    <w:p w:rsidR="00E57FA2" w:rsidRDefault="00E57FA2" w:rsidP="00E57FA2"/>
    <w:p w:rsidR="00E57FA2" w:rsidRDefault="00E57FA2" w:rsidP="00E57FA2">
      <w:r>
        <w:t> </w:t>
      </w:r>
    </w:p>
    <w:p w:rsidR="00183DE9" w:rsidRDefault="00E57FA2" w:rsidP="00E57FA2">
      <w:proofErr w:type="spellStart"/>
      <w:r>
        <w:t>Por</w:t>
      </w:r>
      <w:proofErr w:type="spellEnd"/>
      <w:r>
        <w:t xml:space="preserve"> Daniel W. Rickey -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, CC BY-SA 3.0, </w:t>
      </w:r>
      <w:hyperlink r:id="rId4" w:history="1">
        <w:r w:rsidR="00E61DD7" w:rsidRPr="00F90227">
          <w:rPr>
            <w:rStyle w:val="Hyperlink"/>
          </w:rPr>
          <w:t>https://commons.wikimedia.org/w/index.php?curid=16622561</w:t>
        </w:r>
      </w:hyperlink>
      <w:r w:rsidR="00E61DD7">
        <w:t xml:space="preserve"> </w:t>
      </w:r>
      <w:bookmarkStart w:id="0" w:name="_GoBack"/>
      <w:bookmarkEnd w:id="0"/>
    </w:p>
    <w:sectPr w:rsidR="0018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2"/>
    <w:rsid w:val="00183DE9"/>
    <w:rsid w:val="00E57FA2"/>
    <w:rsid w:val="00E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A38B"/>
  <w15:chartTrackingRefBased/>
  <w15:docId w15:val="{A50800D9-A52F-41C5-931E-4DA5255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D7"/>
  </w:style>
  <w:style w:type="character" w:styleId="Hyperlink">
    <w:name w:val="Hyperlink"/>
    <w:basedOn w:val="DefaultParagraphFont"/>
    <w:uiPriority w:val="99"/>
    <w:unhideWhenUsed/>
    <w:rsid w:val="00E61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ons.wikimedia.org/w/index.php?curid=16622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Lectern</dc:creator>
  <cp:keywords/>
  <dc:description/>
  <cp:lastModifiedBy>Scott Ballard</cp:lastModifiedBy>
  <cp:revision>2</cp:revision>
  <dcterms:created xsi:type="dcterms:W3CDTF">2019-04-24T01:23:00Z</dcterms:created>
  <dcterms:modified xsi:type="dcterms:W3CDTF">2019-05-11T00:45:00Z</dcterms:modified>
</cp:coreProperties>
</file>