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59" w:rsidRDefault="00AD4B7A" w:rsidP="004A2523">
      <w:pPr>
        <w:pStyle w:val="Heading1"/>
        <w:rPr>
          <w:rFonts w:asciiTheme="minorHAnsi" w:hAnsiTheme="minorHAnsi" w:cstheme="minorHAnsi"/>
          <w:b w:val="0"/>
          <w:sz w:val="24"/>
          <w:szCs w:val="24"/>
          <w:u w:val="none"/>
        </w:rPr>
      </w:pPr>
      <w:r>
        <w:rPr>
          <w:rFonts w:asciiTheme="minorHAnsi" w:hAnsiTheme="minorHAnsi" w:cstheme="minorHAnsi"/>
          <w:sz w:val="24"/>
          <w:szCs w:val="24"/>
        </w:rPr>
        <w:t>Radiation Symptoms</w:t>
      </w:r>
      <w:r w:rsidR="002E1B59">
        <w:rPr>
          <w:rFonts w:asciiTheme="minorHAnsi" w:hAnsiTheme="minorHAnsi" w:cstheme="minorHAnsi"/>
          <w:sz w:val="24"/>
          <w:szCs w:val="24"/>
        </w:rPr>
        <w:t xml:space="preserve"> </w:t>
      </w:r>
      <w:r w:rsidR="002E1B59">
        <w:rPr>
          <w:rFonts w:asciiTheme="minorHAnsi" w:hAnsiTheme="minorHAnsi" w:cstheme="minorHAnsi"/>
          <w:b w:val="0"/>
          <w:sz w:val="24"/>
          <w:szCs w:val="24"/>
          <w:u w:val="none"/>
        </w:rPr>
        <w:t xml:space="preserve">occur </w:t>
      </w:r>
      <w:r w:rsidR="00B0330C">
        <w:rPr>
          <w:rFonts w:asciiTheme="minorHAnsi" w:hAnsiTheme="minorHAnsi" w:cstheme="minorHAnsi"/>
          <w:b w:val="0"/>
          <w:sz w:val="24"/>
          <w:szCs w:val="24"/>
          <w:u w:val="none"/>
        </w:rPr>
        <w:t>because</w:t>
      </w:r>
      <w:r w:rsidR="002E1B59">
        <w:rPr>
          <w:rFonts w:asciiTheme="minorHAnsi" w:hAnsiTheme="minorHAnsi" w:cstheme="minorHAnsi"/>
          <w:b w:val="0"/>
          <w:sz w:val="24"/>
          <w:szCs w:val="24"/>
          <w:u w:val="none"/>
        </w:rPr>
        <w:t xml:space="preserve"> of overexposure to radiation.  Most are familiar with the effects of spending to</w:t>
      </w:r>
      <w:r w:rsidR="00B0330C">
        <w:rPr>
          <w:rFonts w:asciiTheme="minorHAnsi" w:hAnsiTheme="minorHAnsi" w:cstheme="minorHAnsi"/>
          <w:b w:val="0"/>
          <w:sz w:val="24"/>
          <w:szCs w:val="24"/>
          <w:u w:val="none"/>
        </w:rPr>
        <w:t>o</w:t>
      </w:r>
      <w:r w:rsidR="002E1B59">
        <w:rPr>
          <w:rFonts w:asciiTheme="minorHAnsi" w:hAnsiTheme="minorHAnsi" w:cstheme="minorHAnsi"/>
          <w:b w:val="0"/>
          <w:sz w:val="24"/>
          <w:szCs w:val="24"/>
          <w:u w:val="none"/>
        </w:rPr>
        <w:t xml:space="preserve"> much time in the direct sunlight on a hot </w:t>
      </w:r>
      <w:r w:rsidR="00B0330C">
        <w:rPr>
          <w:rFonts w:asciiTheme="minorHAnsi" w:hAnsiTheme="minorHAnsi" w:cstheme="minorHAnsi"/>
          <w:b w:val="0"/>
          <w:sz w:val="24"/>
          <w:szCs w:val="24"/>
          <w:u w:val="none"/>
        </w:rPr>
        <w:t>summer’s</w:t>
      </w:r>
      <w:r w:rsidR="002E1B59">
        <w:rPr>
          <w:rFonts w:asciiTheme="minorHAnsi" w:hAnsiTheme="minorHAnsi" w:cstheme="minorHAnsi"/>
          <w:b w:val="0"/>
          <w:sz w:val="24"/>
          <w:szCs w:val="24"/>
          <w:u w:val="none"/>
        </w:rPr>
        <w:t xml:space="preserve"> day – the result is a sunburn.  </w:t>
      </w:r>
      <w:r w:rsidR="0081410D">
        <w:rPr>
          <w:rFonts w:asciiTheme="minorHAnsi" w:hAnsiTheme="minorHAnsi" w:cstheme="minorHAnsi"/>
          <w:b w:val="0"/>
          <w:sz w:val="24"/>
          <w:szCs w:val="24"/>
          <w:u w:val="none"/>
        </w:rPr>
        <w:t>S</w:t>
      </w:r>
      <w:r w:rsidR="002E1B59">
        <w:rPr>
          <w:rFonts w:asciiTheme="minorHAnsi" w:hAnsiTheme="minorHAnsi" w:cstheme="minorHAnsi"/>
          <w:b w:val="0"/>
          <w:sz w:val="24"/>
          <w:szCs w:val="24"/>
          <w:u w:val="none"/>
        </w:rPr>
        <w:t>unburn</w:t>
      </w:r>
      <w:r w:rsidR="0081410D">
        <w:rPr>
          <w:rFonts w:asciiTheme="minorHAnsi" w:hAnsiTheme="minorHAnsi" w:cstheme="minorHAnsi"/>
          <w:b w:val="0"/>
          <w:sz w:val="24"/>
          <w:szCs w:val="24"/>
          <w:u w:val="none"/>
        </w:rPr>
        <w:t>s occur</w:t>
      </w:r>
      <w:r w:rsidR="002E1B59">
        <w:rPr>
          <w:rFonts w:asciiTheme="minorHAnsi" w:hAnsiTheme="minorHAnsi" w:cstheme="minorHAnsi"/>
          <w:b w:val="0"/>
          <w:sz w:val="24"/>
          <w:szCs w:val="24"/>
          <w:u w:val="none"/>
        </w:rPr>
        <w:t xml:space="preserve"> when an </w:t>
      </w:r>
      <w:r w:rsidR="00B0330C">
        <w:rPr>
          <w:rFonts w:asciiTheme="minorHAnsi" w:hAnsiTheme="minorHAnsi" w:cstheme="minorHAnsi"/>
          <w:b w:val="0"/>
          <w:sz w:val="24"/>
          <w:szCs w:val="24"/>
          <w:u w:val="none"/>
        </w:rPr>
        <w:t>individual’s</w:t>
      </w:r>
      <w:r w:rsidR="002E1B59">
        <w:rPr>
          <w:rFonts w:asciiTheme="minorHAnsi" w:hAnsiTheme="minorHAnsi" w:cstheme="minorHAnsi"/>
          <w:b w:val="0"/>
          <w:sz w:val="24"/>
          <w:szCs w:val="24"/>
          <w:u w:val="none"/>
        </w:rPr>
        <w:t xml:space="preserve"> skin is </w:t>
      </w:r>
      <w:r w:rsidR="003727F8">
        <w:rPr>
          <w:rFonts w:asciiTheme="minorHAnsi" w:hAnsiTheme="minorHAnsi" w:cstheme="minorHAnsi"/>
          <w:b w:val="0"/>
          <w:sz w:val="24"/>
          <w:szCs w:val="24"/>
          <w:u w:val="none"/>
        </w:rPr>
        <w:t>overexposed to the sun</w:t>
      </w:r>
      <w:r w:rsidR="00B0330C">
        <w:rPr>
          <w:rFonts w:asciiTheme="minorHAnsi" w:hAnsiTheme="minorHAnsi" w:cstheme="minorHAnsi"/>
          <w:b w:val="0"/>
          <w:sz w:val="24"/>
          <w:szCs w:val="24"/>
          <w:u w:val="none"/>
        </w:rPr>
        <w:t xml:space="preserve"> and the medical community has </w:t>
      </w:r>
      <w:r w:rsidR="003727F8">
        <w:rPr>
          <w:rFonts w:asciiTheme="minorHAnsi" w:hAnsiTheme="minorHAnsi" w:cstheme="minorHAnsi"/>
          <w:b w:val="0"/>
          <w:sz w:val="24"/>
          <w:szCs w:val="24"/>
          <w:u w:val="none"/>
        </w:rPr>
        <w:t>gone to great lengths educating</w:t>
      </w:r>
      <w:r w:rsidR="00B0330C">
        <w:rPr>
          <w:rFonts w:asciiTheme="minorHAnsi" w:hAnsiTheme="minorHAnsi" w:cstheme="minorHAnsi"/>
          <w:b w:val="0"/>
          <w:sz w:val="24"/>
          <w:szCs w:val="24"/>
          <w:u w:val="none"/>
        </w:rPr>
        <w:t xml:space="preserve"> people on the harmful effects of</w:t>
      </w:r>
      <w:r w:rsidR="003727F8">
        <w:rPr>
          <w:rFonts w:asciiTheme="minorHAnsi" w:hAnsiTheme="minorHAnsi" w:cstheme="minorHAnsi"/>
          <w:b w:val="0"/>
          <w:sz w:val="24"/>
          <w:szCs w:val="24"/>
          <w:u w:val="none"/>
        </w:rPr>
        <w:t xml:space="preserve"> the suns</w:t>
      </w:r>
      <w:r w:rsidR="00B0330C">
        <w:rPr>
          <w:rFonts w:asciiTheme="minorHAnsi" w:hAnsiTheme="minorHAnsi" w:cstheme="minorHAnsi"/>
          <w:b w:val="0"/>
          <w:sz w:val="24"/>
          <w:szCs w:val="24"/>
          <w:u w:val="none"/>
        </w:rPr>
        <w:t xml:space="preserve"> </w:t>
      </w:r>
      <w:r w:rsidR="003727F8">
        <w:rPr>
          <w:rFonts w:asciiTheme="minorHAnsi" w:hAnsiTheme="minorHAnsi" w:cstheme="minorHAnsi"/>
          <w:b w:val="0"/>
          <w:sz w:val="24"/>
          <w:szCs w:val="24"/>
          <w:u w:val="none"/>
        </w:rPr>
        <w:t>radiation</w:t>
      </w:r>
      <w:r w:rsidR="00B0330C">
        <w:rPr>
          <w:rFonts w:asciiTheme="minorHAnsi" w:hAnsiTheme="minorHAnsi" w:cstheme="minorHAnsi"/>
          <w:b w:val="0"/>
          <w:sz w:val="24"/>
          <w:szCs w:val="24"/>
          <w:u w:val="none"/>
        </w:rPr>
        <w:t>.  These harmful effects vary from the uncomfortable red, enflamed skin to severe blistering demanding medical treatment.  So how does one prevent a sunburn?  Spend less TIME in the sun.  Cover up your skin with clothes, shade, or sunscreen (SHIELDING).  This sounds a lot like the ALARA principle of TIME, DISTANCE and SHIELDING.</w:t>
      </w:r>
    </w:p>
    <w:p w:rsidR="00B0330C" w:rsidRDefault="00B0330C" w:rsidP="00B0330C"/>
    <w:p w:rsidR="0081410D" w:rsidRDefault="00B0330C" w:rsidP="00B0330C">
      <w:pPr>
        <w:rPr>
          <w:sz w:val="24"/>
          <w:szCs w:val="24"/>
        </w:rPr>
      </w:pPr>
      <w:r>
        <w:rPr>
          <w:sz w:val="24"/>
          <w:szCs w:val="24"/>
        </w:rPr>
        <w:t xml:space="preserve">We can feel the </w:t>
      </w:r>
      <w:r w:rsidR="0081410D">
        <w:rPr>
          <w:sz w:val="24"/>
          <w:szCs w:val="24"/>
        </w:rPr>
        <w:t>gentle warmth</w:t>
      </w:r>
      <w:r>
        <w:rPr>
          <w:sz w:val="24"/>
          <w:szCs w:val="24"/>
        </w:rPr>
        <w:t xml:space="preserve"> of the </w:t>
      </w:r>
      <w:r w:rsidR="00FB030B">
        <w:rPr>
          <w:sz w:val="24"/>
          <w:szCs w:val="24"/>
        </w:rPr>
        <w:t>sun’s</w:t>
      </w:r>
      <w:r>
        <w:rPr>
          <w:sz w:val="24"/>
          <w:szCs w:val="24"/>
        </w:rPr>
        <w:t xml:space="preserve"> rays on our body, but </w:t>
      </w:r>
      <w:r w:rsidR="00FB030B">
        <w:rPr>
          <w:sz w:val="24"/>
          <w:szCs w:val="24"/>
        </w:rPr>
        <w:t xml:space="preserve">the </w:t>
      </w:r>
      <w:r>
        <w:rPr>
          <w:sz w:val="24"/>
          <w:szCs w:val="24"/>
        </w:rPr>
        <w:t xml:space="preserve">damage </w:t>
      </w:r>
      <w:proofErr w:type="gramStart"/>
      <w:r>
        <w:rPr>
          <w:sz w:val="24"/>
          <w:szCs w:val="24"/>
        </w:rPr>
        <w:t>being done</w:t>
      </w:r>
      <w:proofErr w:type="gramEnd"/>
      <w:r>
        <w:rPr>
          <w:sz w:val="24"/>
          <w:szCs w:val="24"/>
        </w:rPr>
        <w:t xml:space="preserve"> is slow and the pain is a delayed response to the overexposure of sunlight.  Likewise, the ionizing radiation of gamma and x</w:t>
      </w:r>
      <w:r w:rsidR="00FB030B">
        <w:rPr>
          <w:sz w:val="24"/>
          <w:szCs w:val="24"/>
        </w:rPr>
        <w:t>-</w:t>
      </w:r>
      <w:r>
        <w:rPr>
          <w:sz w:val="24"/>
          <w:szCs w:val="24"/>
        </w:rPr>
        <w:t xml:space="preserve">rays is invisible, it has no smell, </w:t>
      </w:r>
      <w:r w:rsidR="00FB030B">
        <w:rPr>
          <w:sz w:val="24"/>
          <w:szCs w:val="24"/>
        </w:rPr>
        <w:t xml:space="preserve">but unlike the sun – it cannot be felt at all.  </w:t>
      </w:r>
    </w:p>
    <w:p w:rsidR="00E63B48" w:rsidRDefault="00E63B48" w:rsidP="00B0330C">
      <w:pPr>
        <w:rPr>
          <w:sz w:val="24"/>
          <w:szCs w:val="24"/>
        </w:rPr>
      </w:pPr>
      <w:r>
        <w:rPr>
          <w:sz w:val="24"/>
          <w:szCs w:val="24"/>
        </w:rPr>
        <w:t xml:space="preserve">Biological effects of radiation </w:t>
      </w:r>
      <w:r w:rsidR="00D51AC5">
        <w:rPr>
          <w:sz w:val="24"/>
          <w:szCs w:val="24"/>
        </w:rPr>
        <w:t>fit into two general categories:</w:t>
      </w:r>
    </w:p>
    <w:p w:rsidR="00D51AC5" w:rsidRDefault="00D51AC5" w:rsidP="00D51AC5">
      <w:pPr>
        <w:pStyle w:val="ListParagraph"/>
        <w:numPr>
          <w:ilvl w:val="0"/>
          <w:numId w:val="17"/>
        </w:numPr>
        <w:rPr>
          <w:sz w:val="24"/>
          <w:szCs w:val="24"/>
        </w:rPr>
      </w:pPr>
      <w:r w:rsidRPr="003727F8">
        <w:rPr>
          <w:b/>
          <w:sz w:val="24"/>
          <w:szCs w:val="24"/>
        </w:rPr>
        <w:t>Acute radiation exposure</w:t>
      </w:r>
      <w:r>
        <w:rPr>
          <w:sz w:val="24"/>
          <w:szCs w:val="24"/>
        </w:rPr>
        <w:t xml:space="preserve"> is when an individual receives a high radiation dose over a relatively short </w:t>
      </w:r>
      <w:proofErr w:type="gramStart"/>
      <w:r>
        <w:rPr>
          <w:sz w:val="24"/>
          <w:szCs w:val="24"/>
        </w:rPr>
        <w:t>period of time</w:t>
      </w:r>
      <w:proofErr w:type="gramEnd"/>
      <w:r>
        <w:rPr>
          <w:sz w:val="24"/>
          <w:szCs w:val="24"/>
        </w:rPr>
        <w:t>.  Acute radiation exposure also called Acute Radiation Syndrome (ARS).  ARS results when an individual receives a whole body exposure of 100 to 200 Rems or more (Roentgen Equivalent Ma</w:t>
      </w:r>
      <w:r w:rsidR="00304E0E">
        <w:rPr>
          <w:sz w:val="24"/>
          <w:szCs w:val="24"/>
        </w:rPr>
        <w:t>n) over a 24-hour time period</w:t>
      </w:r>
      <w:r>
        <w:rPr>
          <w:sz w:val="24"/>
          <w:szCs w:val="24"/>
        </w:rPr>
        <w:t xml:space="preserve">.  The table below shows the likely symptoms associated with differing levels of exposure. </w:t>
      </w:r>
    </w:p>
    <w:p w:rsidR="00EF3A4E" w:rsidRDefault="00EF3A4E" w:rsidP="00D51AC5">
      <w:pPr>
        <w:pStyle w:val="ListParagraph"/>
        <w:numPr>
          <w:ilvl w:val="0"/>
          <w:numId w:val="17"/>
        </w:numPr>
        <w:rPr>
          <w:sz w:val="24"/>
          <w:szCs w:val="24"/>
        </w:rPr>
      </w:pPr>
      <w:r w:rsidRPr="003727F8">
        <w:rPr>
          <w:b/>
          <w:sz w:val="24"/>
          <w:szCs w:val="24"/>
        </w:rPr>
        <w:t xml:space="preserve">Chronic </w:t>
      </w:r>
      <w:r w:rsidR="00C65173" w:rsidRPr="003727F8">
        <w:rPr>
          <w:b/>
          <w:sz w:val="24"/>
          <w:szCs w:val="24"/>
        </w:rPr>
        <w:t>radiation exposure</w:t>
      </w:r>
      <w:r w:rsidR="00C65173">
        <w:rPr>
          <w:sz w:val="24"/>
          <w:szCs w:val="24"/>
        </w:rPr>
        <w:t xml:space="preserve"> occurs over an extended or prolonged </w:t>
      </w:r>
      <w:r w:rsidR="00304E0E">
        <w:rPr>
          <w:sz w:val="24"/>
          <w:szCs w:val="24"/>
        </w:rPr>
        <w:t>time</w:t>
      </w:r>
      <w:r w:rsidR="00C65173">
        <w:rPr>
          <w:sz w:val="24"/>
          <w:szCs w:val="24"/>
        </w:rPr>
        <w:t xml:space="preserve"> and the results </w:t>
      </w:r>
      <w:r w:rsidR="00304E0E">
        <w:rPr>
          <w:sz w:val="24"/>
          <w:szCs w:val="24"/>
        </w:rPr>
        <w:t>vary</w:t>
      </w:r>
      <w:r w:rsidR="00C65173">
        <w:rPr>
          <w:sz w:val="24"/>
          <w:szCs w:val="24"/>
        </w:rPr>
        <w:t xml:space="preserve"> depending on the dose of exposure, duration of exposure and individual reaction to the over-exposure.</w:t>
      </w:r>
    </w:p>
    <w:p w:rsidR="007A15C7" w:rsidRDefault="00D6778C" w:rsidP="00D6778C">
      <w:pPr>
        <w:rPr>
          <w:sz w:val="24"/>
          <w:szCs w:val="24"/>
        </w:rPr>
      </w:pPr>
      <w:r>
        <w:rPr>
          <w:sz w:val="24"/>
          <w:szCs w:val="24"/>
        </w:rPr>
        <w:t xml:space="preserve">Roentgens (R), Radiation Absorbed Dose (RAD), Roentgen Equivalent </w:t>
      </w:r>
      <w:r w:rsidR="00F502EC">
        <w:rPr>
          <w:sz w:val="24"/>
          <w:szCs w:val="24"/>
        </w:rPr>
        <w:t>M</w:t>
      </w:r>
      <w:r>
        <w:rPr>
          <w:sz w:val="24"/>
          <w:szCs w:val="24"/>
        </w:rPr>
        <w:t xml:space="preserve">an (REM), and Quality Factor (QF) are units of radiation measurement and it is important for the radiographer to discern between them each.  </w:t>
      </w:r>
    </w:p>
    <w:p w:rsidR="00D6778C" w:rsidRDefault="00D6778C" w:rsidP="00D6778C">
      <w:pPr>
        <w:rPr>
          <w:sz w:val="24"/>
          <w:szCs w:val="24"/>
        </w:rPr>
      </w:pPr>
      <w:r w:rsidRPr="00D6778C">
        <w:rPr>
          <w:b/>
          <w:sz w:val="24"/>
          <w:szCs w:val="24"/>
        </w:rPr>
        <w:t>Roentgens (R</w:t>
      </w:r>
      <w:proofErr w:type="gramStart"/>
      <w:r w:rsidRPr="00D6778C">
        <w:rPr>
          <w:b/>
          <w:sz w:val="24"/>
          <w:szCs w:val="24"/>
        </w:rPr>
        <w:t>),</w:t>
      </w:r>
      <w:proofErr w:type="gramEnd"/>
      <w:r>
        <w:rPr>
          <w:sz w:val="24"/>
          <w:szCs w:val="24"/>
        </w:rPr>
        <w:t xml:space="preserve"> is </w:t>
      </w:r>
      <w:r w:rsidRPr="00D6778C">
        <w:rPr>
          <w:sz w:val="24"/>
          <w:szCs w:val="24"/>
        </w:rPr>
        <w:t xml:space="preserve">the unit of measuring </w:t>
      </w:r>
      <w:r>
        <w:rPr>
          <w:sz w:val="24"/>
          <w:szCs w:val="24"/>
        </w:rPr>
        <w:t xml:space="preserve">radiation </w:t>
      </w:r>
      <w:r w:rsidRPr="00D6778C">
        <w:rPr>
          <w:sz w:val="24"/>
          <w:szCs w:val="24"/>
        </w:rPr>
        <w:t>exposure i</w:t>
      </w:r>
      <w:r>
        <w:rPr>
          <w:sz w:val="24"/>
          <w:szCs w:val="24"/>
        </w:rPr>
        <w:t xml:space="preserve">n </w:t>
      </w:r>
      <w:r w:rsidRPr="00D6778C">
        <w:rPr>
          <w:b/>
          <w:sz w:val="24"/>
          <w:szCs w:val="24"/>
        </w:rPr>
        <w:t xml:space="preserve">AIR </w:t>
      </w:r>
      <w:r>
        <w:rPr>
          <w:sz w:val="24"/>
          <w:szCs w:val="24"/>
        </w:rPr>
        <w:t xml:space="preserve">for X-rays and gamma rays, </w:t>
      </w:r>
      <w:r w:rsidRPr="00D6778C">
        <w:rPr>
          <w:sz w:val="24"/>
          <w:szCs w:val="24"/>
        </w:rPr>
        <w:t>which is based on the ionization produced in air</w:t>
      </w:r>
      <w:r>
        <w:rPr>
          <w:sz w:val="24"/>
          <w:szCs w:val="24"/>
        </w:rPr>
        <w:t xml:space="preserve">.  More specifically, the Roentgen </w:t>
      </w:r>
      <w:proofErr w:type="gramStart"/>
      <w:r w:rsidRPr="00D6778C">
        <w:rPr>
          <w:sz w:val="24"/>
          <w:szCs w:val="24"/>
        </w:rPr>
        <w:t>is defined</w:t>
      </w:r>
      <w:proofErr w:type="gramEnd"/>
      <w:r w:rsidRPr="00D6778C">
        <w:rPr>
          <w:sz w:val="24"/>
          <w:szCs w:val="24"/>
        </w:rPr>
        <w:t xml:space="preserve"> as “the radiation flux which will produce 2.083 x 109 ion pairs per cubic centimeter (one electrostatic unit of charge either positive or negative) at a standard temperature and standard pressure (0° C and 760 mm Hg)</w:t>
      </w:r>
      <w:r>
        <w:rPr>
          <w:sz w:val="24"/>
          <w:szCs w:val="24"/>
        </w:rPr>
        <w:t xml:space="preserve">.  </w:t>
      </w:r>
      <w:proofErr w:type="gramStart"/>
      <w:r>
        <w:rPr>
          <w:sz w:val="24"/>
          <w:szCs w:val="24"/>
        </w:rPr>
        <w:t>But</w:t>
      </w:r>
      <w:proofErr w:type="gramEnd"/>
      <w:r>
        <w:rPr>
          <w:sz w:val="24"/>
          <w:szCs w:val="24"/>
        </w:rPr>
        <w:t xml:space="preserve"> for all practical purposes – commit to memory that Roentgens measure ionizing radiation in air.</w:t>
      </w:r>
    </w:p>
    <w:p w:rsidR="00D6778C" w:rsidRDefault="0004484D" w:rsidP="00D6778C">
      <w:pPr>
        <w:rPr>
          <w:sz w:val="24"/>
          <w:szCs w:val="24"/>
        </w:rPr>
      </w:pPr>
      <w:r>
        <w:rPr>
          <w:b/>
          <w:sz w:val="24"/>
          <w:szCs w:val="24"/>
        </w:rPr>
        <w:t>Radiation Absorbed Dose (</w:t>
      </w:r>
      <w:r w:rsidR="00D6778C" w:rsidRPr="0004484D">
        <w:rPr>
          <w:b/>
          <w:sz w:val="24"/>
          <w:szCs w:val="24"/>
        </w:rPr>
        <w:t>RAD</w:t>
      </w:r>
      <w:r>
        <w:rPr>
          <w:b/>
          <w:sz w:val="24"/>
          <w:szCs w:val="24"/>
        </w:rPr>
        <w:t>)</w:t>
      </w:r>
      <w:r w:rsidR="00D6778C">
        <w:rPr>
          <w:sz w:val="24"/>
          <w:szCs w:val="24"/>
        </w:rPr>
        <w:t xml:space="preserve"> </w:t>
      </w:r>
      <w:r w:rsidR="00D6778C" w:rsidRPr="00D6778C">
        <w:rPr>
          <w:sz w:val="24"/>
          <w:szCs w:val="24"/>
        </w:rPr>
        <w:t xml:space="preserve">is the accepted unit of measurement of absorbed dose in </w:t>
      </w:r>
      <w:r w:rsidR="00D6778C" w:rsidRPr="0004484D">
        <w:rPr>
          <w:b/>
          <w:sz w:val="24"/>
          <w:szCs w:val="24"/>
        </w:rPr>
        <w:t>tissue</w:t>
      </w:r>
      <w:r>
        <w:t xml:space="preserve">.  </w:t>
      </w:r>
      <w:r w:rsidRPr="0004484D">
        <w:rPr>
          <w:sz w:val="24"/>
          <w:szCs w:val="24"/>
        </w:rPr>
        <w:t xml:space="preserve">1 RAD represents 100 ergs of energy imparted per gram of material at the place of exposure.  </w:t>
      </w:r>
    </w:p>
    <w:p w:rsidR="0004484D" w:rsidRDefault="0004484D" w:rsidP="00D6778C">
      <w:pPr>
        <w:rPr>
          <w:sz w:val="24"/>
          <w:szCs w:val="24"/>
        </w:rPr>
      </w:pPr>
      <w:r w:rsidRPr="0004484D">
        <w:rPr>
          <w:b/>
          <w:sz w:val="24"/>
          <w:szCs w:val="24"/>
        </w:rPr>
        <w:t>Quality Factor (QF)</w:t>
      </w:r>
      <w:r>
        <w:rPr>
          <w:sz w:val="24"/>
          <w:szCs w:val="24"/>
        </w:rPr>
        <w:t xml:space="preserve"> is a factor or multiplier of the actual biological effects or damage of the specific radiation type on the human tissue.  In a sense, not all Roentgens impart equal damage to tissue and therefore we use a QF multiplier to calculate for the Roentgen Equi</w:t>
      </w:r>
      <w:bookmarkStart w:id="0" w:name="_GoBack"/>
      <w:bookmarkEnd w:id="0"/>
      <w:r>
        <w:rPr>
          <w:sz w:val="24"/>
          <w:szCs w:val="24"/>
        </w:rPr>
        <w:t>valent Man (REM).  Table 7A below will demonstrate the various QF value of differing ionizing radiation sources.</w:t>
      </w:r>
    </w:p>
    <w:p w:rsidR="0004484D" w:rsidRDefault="0004484D" w:rsidP="00D6778C">
      <w:pPr>
        <w:rPr>
          <w:sz w:val="24"/>
          <w:szCs w:val="24"/>
        </w:rPr>
      </w:pPr>
      <w:r w:rsidRPr="0004484D">
        <w:rPr>
          <w:b/>
          <w:sz w:val="24"/>
          <w:szCs w:val="24"/>
        </w:rPr>
        <w:t>Roentgen Equivalent Man (REM)</w:t>
      </w:r>
      <w:r>
        <w:rPr>
          <w:sz w:val="24"/>
          <w:szCs w:val="24"/>
        </w:rPr>
        <w:t xml:space="preserve"> is  </w:t>
      </w:r>
      <w:r w:rsidRPr="0004484D">
        <w:rPr>
          <w:sz w:val="24"/>
          <w:szCs w:val="24"/>
        </w:rPr>
        <w:t>defined as the quantity of ionizing radiation of any type which, when absorbed in a biological system, results in the same</w:t>
      </w:r>
      <w:r>
        <w:rPr>
          <w:sz w:val="24"/>
          <w:szCs w:val="24"/>
        </w:rPr>
        <w:t xml:space="preserve"> biological effects as one unit</w:t>
      </w:r>
      <w:r w:rsidRPr="0004484D">
        <w:rPr>
          <w:sz w:val="24"/>
          <w:szCs w:val="24"/>
        </w:rPr>
        <w:t xml:space="preserve"> of absorbed dose </w:t>
      </w:r>
      <w:r w:rsidRPr="0004484D">
        <w:rPr>
          <w:sz w:val="24"/>
          <w:szCs w:val="24"/>
        </w:rPr>
        <w:lastRenderedPageBreak/>
        <w:t>in the form of low linear energy transfer (LET) radiation</w:t>
      </w:r>
      <w:r>
        <w:rPr>
          <w:sz w:val="24"/>
          <w:szCs w:val="24"/>
        </w:rPr>
        <w:t xml:space="preserve">.  More practically, REM </w:t>
      </w:r>
      <w:proofErr w:type="gramStart"/>
      <w:r>
        <w:rPr>
          <w:sz w:val="24"/>
          <w:szCs w:val="24"/>
        </w:rPr>
        <w:t>is defined</w:t>
      </w:r>
      <w:proofErr w:type="gramEnd"/>
      <w:r>
        <w:rPr>
          <w:sz w:val="24"/>
          <w:szCs w:val="24"/>
        </w:rPr>
        <w:t xml:space="preserve"> as the product </w:t>
      </w:r>
      <w:r w:rsidR="006455BC">
        <w:rPr>
          <w:sz w:val="24"/>
          <w:szCs w:val="24"/>
        </w:rPr>
        <w:t>of the RAD multiplied by the QF.</w:t>
      </w:r>
    </w:p>
    <w:p w:rsidR="006455BC" w:rsidRPr="006455BC" w:rsidRDefault="006455BC" w:rsidP="00D6778C">
      <w:pPr>
        <w:rPr>
          <w:b/>
          <w:sz w:val="40"/>
          <w:szCs w:val="40"/>
        </w:rPr>
      </w:pPr>
      <w:r>
        <w:rPr>
          <w:b/>
          <w:sz w:val="40"/>
          <w:szCs w:val="40"/>
        </w:rPr>
        <w:t xml:space="preserve"> </w:t>
      </w:r>
      <w:r>
        <w:rPr>
          <w:b/>
          <w:sz w:val="40"/>
          <w:szCs w:val="40"/>
        </w:rPr>
        <w:tab/>
      </w:r>
      <w:r>
        <w:rPr>
          <w:b/>
          <w:sz w:val="40"/>
          <w:szCs w:val="40"/>
        </w:rPr>
        <w:tab/>
      </w:r>
      <w:r>
        <w:rPr>
          <w:b/>
          <w:sz w:val="40"/>
          <w:szCs w:val="40"/>
        </w:rPr>
        <w:tab/>
      </w:r>
      <w:r>
        <w:rPr>
          <w:b/>
          <w:sz w:val="40"/>
          <w:szCs w:val="40"/>
        </w:rPr>
        <w:tab/>
      </w:r>
      <w:r>
        <w:rPr>
          <w:b/>
          <w:sz w:val="40"/>
          <w:szCs w:val="40"/>
        </w:rPr>
        <w:tab/>
      </w:r>
      <w:r w:rsidRPr="006455BC">
        <w:rPr>
          <w:b/>
          <w:sz w:val="40"/>
          <w:szCs w:val="40"/>
        </w:rPr>
        <w:t>RAD x QF = REM</w:t>
      </w:r>
    </w:p>
    <w:p w:rsidR="008445C8" w:rsidRDefault="006455BC" w:rsidP="008445C8">
      <w:pPr>
        <w:rPr>
          <w:sz w:val="24"/>
          <w:szCs w:val="24"/>
        </w:rPr>
      </w:pPr>
      <w:r>
        <w:rPr>
          <w:sz w:val="24"/>
          <w:szCs w:val="24"/>
        </w:rPr>
        <w:t xml:space="preserve">For example, an exposure to </w:t>
      </w:r>
      <w:proofErr w:type="gramStart"/>
      <w:r>
        <w:rPr>
          <w:sz w:val="24"/>
          <w:szCs w:val="24"/>
        </w:rPr>
        <w:t>1</w:t>
      </w:r>
      <w:proofErr w:type="gramEnd"/>
      <w:r>
        <w:rPr>
          <w:sz w:val="24"/>
          <w:szCs w:val="24"/>
        </w:rPr>
        <w:t xml:space="preserve"> R of gamma or X-rays is equal to 1 REM because the QF of gamma and X-rays is 1.  However, an exposure to 1R of alpha particles is equal to 20 REM due to the QF of 20 for alpha particles.  All things being equal, alpha particles are 20 times worse for human tissue than gamma or x-rays.  It is critical for individuals working in nuclear facilities and performing gamma radiography </w:t>
      </w:r>
      <w:proofErr w:type="gramStart"/>
      <w:r>
        <w:rPr>
          <w:sz w:val="24"/>
          <w:szCs w:val="24"/>
        </w:rPr>
        <w:t>to clearly understand</w:t>
      </w:r>
      <w:proofErr w:type="gramEnd"/>
      <w:r>
        <w:rPr>
          <w:sz w:val="24"/>
          <w:szCs w:val="24"/>
        </w:rPr>
        <w:t xml:space="preserve"> the simple equation above to calculate the REM dose accurately.</w:t>
      </w: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3B54F6" w:rsidRDefault="003B54F6" w:rsidP="008445C8">
      <w:pPr>
        <w:ind w:left="360"/>
      </w:pPr>
    </w:p>
    <w:p w:rsidR="003B54F6" w:rsidRDefault="003B54F6" w:rsidP="008445C8">
      <w:pPr>
        <w:ind w:left="360"/>
      </w:pPr>
    </w:p>
    <w:p w:rsidR="008445C8" w:rsidRDefault="003B54F6" w:rsidP="008445C8">
      <w:pPr>
        <w:ind w:left="360"/>
      </w:pPr>
      <w:r>
        <w:lastRenderedPageBreak/>
        <w:t xml:space="preserve">The following data </w:t>
      </w:r>
      <w:proofErr w:type="gramStart"/>
      <w:r>
        <w:t>is compiled</w:t>
      </w:r>
      <w:proofErr w:type="gramEnd"/>
      <w:r>
        <w:t xml:space="preserve"> from the NRC and can be seen in an expanded format at the following NRC URL: </w:t>
      </w:r>
      <w:hyperlink r:id="rId7" w:history="1">
        <w:r w:rsidR="00FE6AE0">
          <w:rPr>
            <w:rStyle w:val="Hyperlink"/>
          </w:rPr>
          <w:t>https://www.nrc.gov/reading-rm/basic-ref/students/for-educators/09.pdf</w:t>
        </w:r>
      </w:hyperlink>
      <w:r w:rsidR="00FE6AE0">
        <w:t xml:space="preserve"> </w:t>
      </w:r>
    </w:p>
    <w:p w:rsidR="0096303A" w:rsidRDefault="0096303A" w:rsidP="008445C8">
      <w:pPr>
        <w:ind w:left="360"/>
      </w:pPr>
    </w:p>
    <w:p w:rsidR="0096303A" w:rsidRPr="0096303A" w:rsidRDefault="0096303A" w:rsidP="0096303A">
      <w:pPr>
        <w:rPr>
          <w:b/>
          <w:sz w:val="24"/>
          <w:szCs w:val="24"/>
          <w:u w:val="single"/>
        </w:rPr>
      </w:pPr>
      <w:r w:rsidRPr="0096303A">
        <w:rPr>
          <w:b/>
          <w:sz w:val="24"/>
          <w:szCs w:val="24"/>
          <w:u w:val="single"/>
        </w:rPr>
        <w:t xml:space="preserve">TABLE </w:t>
      </w:r>
      <w:proofErr w:type="gramStart"/>
      <w:r w:rsidRPr="0096303A">
        <w:rPr>
          <w:b/>
          <w:sz w:val="24"/>
          <w:szCs w:val="24"/>
          <w:u w:val="single"/>
        </w:rPr>
        <w:t>7-</w:t>
      </w:r>
      <w:proofErr w:type="gramEnd"/>
      <w:r w:rsidRPr="0096303A">
        <w:rPr>
          <w:b/>
          <w:sz w:val="24"/>
          <w:szCs w:val="24"/>
          <w:u w:val="single"/>
        </w:rPr>
        <w:t>A</w:t>
      </w:r>
      <w:r>
        <w:rPr>
          <w:b/>
          <w:sz w:val="24"/>
          <w:szCs w:val="24"/>
          <w:u w:val="single"/>
        </w:rPr>
        <w:t>:  Quality Factor (QF)</w:t>
      </w:r>
    </w:p>
    <w:tbl>
      <w:tblPr>
        <w:tblStyle w:val="TableGrid"/>
        <w:tblW w:w="0" w:type="auto"/>
        <w:tblLook w:val="04A0" w:firstRow="1" w:lastRow="0" w:firstColumn="1" w:lastColumn="0" w:noHBand="0" w:noVBand="1"/>
      </w:tblPr>
      <w:tblGrid>
        <w:gridCol w:w="7555"/>
        <w:gridCol w:w="2659"/>
      </w:tblGrid>
      <w:tr w:rsidR="0096303A" w:rsidTr="00A91C3A">
        <w:tc>
          <w:tcPr>
            <w:tcW w:w="7555" w:type="dxa"/>
          </w:tcPr>
          <w:p w:rsidR="0096303A" w:rsidRPr="00FC36D0" w:rsidRDefault="00FC36D0" w:rsidP="0096303A">
            <w:pPr>
              <w:rPr>
                <w:b/>
                <w:sz w:val="24"/>
                <w:szCs w:val="24"/>
                <w:u w:val="single"/>
              </w:rPr>
            </w:pPr>
            <w:r w:rsidRPr="00FC36D0">
              <w:rPr>
                <w:b/>
                <w:sz w:val="24"/>
                <w:szCs w:val="24"/>
                <w:u w:val="single"/>
              </w:rPr>
              <w:t>Type of Radiation</w:t>
            </w:r>
          </w:p>
        </w:tc>
        <w:tc>
          <w:tcPr>
            <w:tcW w:w="2659" w:type="dxa"/>
          </w:tcPr>
          <w:p w:rsidR="0096303A" w:rsidRPr="00FC36D0" w:rsidRDefault="00FC36D0" w:rsidP="00FC36D0">
            <w:pPr>
              <w:jc w:val="center"/>
              <w:rPr>
                <w:b/>
                <w:sz w:val="24"/>
                <w:szCs w:val="24"/>
                <w:u w:val="single"/>
              </w:rPr>
            </w:pPr>
            <w:r w:rsidRPr="00FC36D0">
              <w:rPr>
                <w:b/>
                <w:sz w:val="24"/>
                <w:szCs w:val="24"/>
                <w:u w:val="single"/>
              </w:rPr>
              <w:t>Quality Factor (QF)</w:t>
            </w:r>
          </w:p>
        </w:tc>
      </w:tr>
      <w:tr w:rsidR="00FC36D0" w:rsidTr="00A91C3A">
        <w:tc>
          <w:tcPr>
            <w:tcW w:w="7555" w:type="dxa"/>
          </w:tcPr>
          <w:p w:rsidR="00FC36D0" w:rsidRPr="00A91C3A" w:rsidRDefault="00A91C3A" w:rsidP="00A91C3A">
            <w:pPr>
              <w:rPr>
                <w:sz w:val="24"/>
                <w:szCs w:val="24"/>
              </w:rPr>
            </w:pPr>
            <w:r w:rsidRPr="00A91C3A">
              <w:rPr>
                <w:sz w:val="24"/>
                <w:szCs w:val="24"/>
              </w:rPr>
              <w:t>X-Rays</w:t>
            </w:r>
          </w:p>
        </w:tc>
        <w:tc>
          <w:tcPr>
            <w:tcW w:w="2659" w:type="dxa"/>
          </w:tcPr>
          <w:p w:rsidR="00FC36D0" w:rsidRPr="00A91C3A" w:rsidRDefault="00A91C3A" w:rsidP="00A91C3A">
            <w:pPr>
              <w:jc w:val="center"/>
              <w:rPr>
                <w:sz w:val="24"/>
                <w:szCs w:val="24"/>
              </w:rPr>
            </w:pPr>
            <w:r w:rsidRPr="00A91C3A">
              <w:rPr>
                <w:sz w:val="24"/>
                <w:szCs w:val="24"/>
              </w:rPr>
              <w:t>1</w:t>
            </w:r>
          </w:p>
        </w:tc>
      </w:tr>
      <w:tr w:rsidR="00A91C3A" w:rsidTr="00A91C3A">
        <w:tc>
          <w:tcPr>
            <w:tcW w:w="7555" w:type="dxa"/>
          </w:tcPr>
          <w:p w:rsidR="00A91C3A" w:rsidRPr="00A91C3A" w:rsidRDefault="00A91C3A" w:rsidP="00A91C3A">
            <w:pPr>
              <w:rPr>
                <w:sz w:val="24"/>
                <w:szCs w:val="24"/>
              </w:rPr>
            </w:pPr>
            <w:r w:rsidRPr="00A91C3A">
              <w:rPr>
                <w:sz w:val="24"/>
                <w:szCs w:val="24"/>
              </w:rPr>
              <w:t>Gamma Rays</w:t>
            </w:r>
          </w:p>
        </w:tc>
        <w:tc>
          <w:tcPr>
            <w:tcW w:w="2659" w:type="dxa"/>
          </w:tcPr>
          <w:p w:rsidR="00A91C3A" w:rsidRPr="00A91C3A" w:rsidRDefault="00A91C3A" w:rsidP="00A91C3A">
            <w:pPr>
              <w:jc w:val="center"/>
              <w:rPr>
                <w:sz w:val="24"/>
                <w:szCs w:val="24"/>
              </w:rPr>
            </w:pPr>
            <w:r w:rsidRPr="00A91C3A">
              <w:rPr>
                <w:sz w:val="24"/>
                <w:szCs w:val="24"/>
              </w:rPr>
              <w:t>1</w:t>
            </w:r>
          </w:p>
        </w:tc>
      </w:tr>
      <w:tr w:rsidR="00A91C3A" w:rsidTr="00A91C3A">
        <w:tc>
          <w:tcPr>
            <w:tcW w:w="7555" w:type="dxa"/>
          </w:tcPr>
          <w:p w:rsidR="00A91C3A" w:rsidRPr="00A91C3A" w:rsidRDefault="00A91C3A" w:rsidP="00A91C3A">
            <w:pPr>
              <w:rPr>
                <w:sz w:val="24"/>
                <w:szCs w:val="24"/>
              </w:rPr>
            </w:pPr>
            <w:r w:rsidRPr="00A91C3A">
              <w:rPr>
                <w:sz w:val="24"/>
                <w:szCs w:val="24"/>
              </w:rPr>
              <w:t>Beta Particles</w:t>
            </w:r>
          </w:p>
        </w:tc>
        <w:tc>
          <w:tcPr>
            <w:tcW w:w="2659" w:type="dxa"/>
          </w:tcPr>
          <w:p w:rsidR="00A91C3A" w:rsidRPr="00A91C3A" w:rsidRDefault="00A91C3A" w:rsidP="00A91C3A">
            <w:pPr>
              <w:jc w:val="center"/>
              <w:rPr>
                <w:sz w:val="24"/>
                <w:szCs w:val="24"/>
              </w:rPr>
            </w:pPr>
            <w:r w:rsidRPr="00A91C3A">
              <w:rPr>
                <w:sz w:val="24"/>
                <w:szCs w:val="24"/>
              </w:rPr>
              <w:t>1</w:t>
            </w:r>
          </w:p>
        </w:tc>
      </w:tr>
      <w:tr w:rsidR="00A91C3A" w:rsidTr="00A91C3A">
        <w:tc>
          <w:tcPr>
            <w:tcW w:w="7555" w:type="dxa"/>
          </w:tcPr>
          <w:p w:rsidR="00A91C3A" w:rsidRPr="00A91C3A" w:rsidRDefault="00A91C3A" w:rsidP="00A91C3A">
            <w:pPr>
              <w:rPr>
                <w:sz w:val="24"/>
                <w:szCs w:val="24"/>
              </w:rPr>
            </w:pPr>
            <w:r w:rsidRPr="00A91C3A">
              <w:rPr>
                <w:sz w:val="24"/>
                <w:szCs w:val="24"/>
              </w:rPr>
              <w:t>Neutron Radiation</w:t>
            </w:r>
          </w:p>
        </w:tc>
        <w:tc>
          <w:tcPr>
            <w:tcW w:w="2659" w:type="dxa"/>
          </w:tcPr>
          <w:p w:rsidR="00A91C3A" w:rsidRPr="00A91C3A" w:rsidRDefault="00A91C3A" w:rsidP="00A91C3A">
            <w:pPr>
              <w:jc w:val="center"/>
              <w:rPr>
                <w:sz w:val="24"/>
                <w:szCs w:val="24"/>
              </w:rPr>
            </w:pPr>
            <w:r w:rsidRPr="00A91C3A">
              <w:rPr>
                <w:sz w:val="24"/>
                <w:szCs w:val="24"/>
              </w:rPr>
              <w:t>10</w:t>
            </w:r>
          </w:p>
        </w:tc>
      </w:tr>
      <w:tr w:rsidR="00A91C3A" w:rsidTr="00A91C3A">
        <w:tc>
          <w:tcPr>
            <w:tcW w:w="7555" w:type="dxa"/>
          </w:tcPr>
          <w:p w:rsidR="00A91C3A" w:rsidRPr="00A91C3A" w:rsidRDefault="00A91C3A" w:rsidP="00A91C3A">
            <w:pPr>
              <w:rPr>
                <w:sz w:val="24"/>
                <w:szCs w:val="24"/>
              </w:rPr>
            </w:pPr>
            <w:r w:rsidRPr="00A91C3A">
              <w:rPr>
                <w:sz w:val="24"/>
                <w:szCs w:val="24"/>
              </w:rPr>
              <w:t>High-Energy Protons</w:t>
            </w:r>
          </w:p>
        </w:tc>
        <w:tc>
          <w:tcPr>
            <w:tcW w:w="2659" w:type="dxa"/>
          </w:tcPr>
          <w:p w:rsidR="00A91C3A" w:rsidRPr="00A91C3A" w:rsidRDefault="00A91C3A" w:rsidP="00A91C3A">
            <w:pPr>
              <w:jc w:val="center"/>
              <w:rPr>
                <w:sz w:val="24"/>
                <w:szCs w:val="24"/>
              </w:rPr>
            </w:pPr>
            <w:r w:rsidRPr="00A91C3A">
              <w:rPr>
                <w:sz w:val="24"/>
                <w:szCs w:val="24"/>
              </w:rPr>
              <w:t>10</w:t>
            </w:r>
          </w:p>
        </w:tc>
      </w:tr>
      <w:tr w:rsidR="00A91C3A" w:rsidTr="00A91C3A">
        <w:tc>
          <w:tcPr>
            <w:tcW w:w="7555" w:type="dxa"/>
          </w:tcPr>
          <w:p w:rsidR="00A91C3A" w:rsidRPr="00A91C3A" w:rsidRDefault="00A91C3A" w:rsidP="00A91C3A">
            <w:pPr>
              <w:rPr>
                <w:sz w:val="24"/>
                <w:szCs w:val="24"/>
              </w:rPr>
            </w:pPr>
            <w:r w:rsidRPr="00A91C3A">
              <w:rPr>
                <w:sz w:val="24"/>
                <w:szCs w:val="24"/>
              </w:rPr>
              <w:t>Alpha Particles</w:t>
            </w:r>
          </w:p>
        </w:tc>
        <w:tc>
          <w:tcPr>
            <w:tcW w:w="2659" w:type="dxa"/>
          </w:tcPr>
          <w:p w:rsidR="00A91C3A" w:rsidRPr="00A91C3A" w:rsidRDefault="00A91C3A" w:rsidP="00A91C3A">
            <w:pPr>
              <w:jc w:val="center"/>
              <w:rPr>
                <w:sz w:val="24"/>
                <w:szCs w:val="24"/>
              </w:rPr>
            </w:pPr>
            <w:r w:rsidRPr="00A91C3A">
              <w:rPr>
                <w:sz w:val="24"/>
                <w:szCs w:val="24"/>
              </w:rPr>
              <w:t>20</w:t>
            </w:r>
          </w:p>
        </w:tc>
      </w:tr>
    </w:tbl>
    <w:p w:rsidR="0096303A" w:rsidRPr="0096303A" w:rsidRDefault="0096303A" w:rsidP="0096303A">
      <w:pPr>
        <w:rPr>
          <w:b/>
          <w:sz w:val="24"/>
          <w:szCs w:val="24"/>
        </w:rPr>
      </w:pPr>
    </w:p>
    <w:p w:rsidR="0096303A" w:rsidRPr="0096303A" w:rsidRDefault="0096303A" w:rsidP="0096303A">
      <w:pPr>
        <w:rPr>
          <w:b/>
          <w:sz w:val="24"/>
          <w:szCs w:val="24"/>
          <w:u w:val="single"/>
        </w:rPr>
      </w:pPr>
      <w:r w:rsidRPr="0096303A">
        <w:rPr>
          <w:b/>
          <w:sz w:val="24"/>
          <w:szCs w:val="24"/>
          <w:u w:val="single"/>
        </w:rPr>
        <w:t>TABLE 7-B</w:t>
      </w:r>
      <w:r>
        <w:rPr>
          <w:b/>
          <w:sz w:val="24"/>
          <w:szCs w:val="24"/>
          <w:u w:val="single"/>
        </w:rPr>
        <w:t>:  Biological Effects based on Exposure Rates</w:t>
      </w:r>
    </w:p>
    <w:tbl>
      <w:tblPr>
        <w:tblStyle w:val="TableGrid"/>
        <w:tblW w:w="0" w:type="auto"/>
        <w:tblLook w:val="04A0" w:firstRow="1" w:lastRow="0" w:firstColumn="1" w:lastColumn="0" w:noHBand="0" w:noVBand="1"/>
      </w:tblPr>
      <w:tblGrid>
        <w:gridCol w:w="3404"/>
        <w:gridCol w:w="6671"/>
      </w:tblGrid>
      <w:tr w:rsidR="00FE6AE0" w:rsidTr="00FE6AE0">
        <w:tc>
          <w:tcPr>
            <w:tcW w:w="3404" w:type="dxa"/>
          </w:tcPr>
          <w:p w:rsidR="00FE6AE0" w:rsidRPr="008445C8" w:rsidRDefault="00FE6AE0" w:rsidP="008445C8">
            <w:pPr>
              <w:jc w:val="center"/>
              <w:rPr>
                <w:b/>
                <w:sz w:val="24"/>
                <w:szCs w:val="24"/>
                <w:u w:val="single"/>
              </w:rPr>
            </w:pPr>
            <w:r>
              <w:rPr>
                <w:b/>
                <w:sz w:val="24"/>
                <w:szCs w:val="24"/>
                <w:u w:val="single"/>
              </w:rPr>
              <w:t xml:space="preserve">Dose </w:t>
            </w:r>
          </w:p>
        </w:tc>
        <w:tc>
          <w:tcPr>
            <w:tcW w:w="6671" w:type="dxa"/>
          </w:tcPr>
          <w:p w:rsidR="00FE6AE0" w:rsidRPr="008445C8" w:rsidRDefault="00FE6AE0" w:rsidP="008445C8">
            <w:pPr>
              <w:jc w:val="center"/>
              <w:rPr>
                <w:b/>
                <w:sz w:val="24"/>
                <w:szCs w:val="24"/>
                <w:u w:val="single"/>
              </w:rPr>
            </w:pPr>
            <w:r>
              <w:rPr>
                <w:b/>
                <w:sz w:val="24"/>
                <w:szCs w:val="24"/>
                <w:u w:val="single"/>
              </w:rPr>
              <w:t>Summary of Biological Effects</w:t>
            </w:r>
          </w:p>
        </w:tc>
      </w:tr>
      <w:tr w:rsidR="00FE6AE0" w:rsidTr="00FE6AE0">
        <w:tc>
          <w:tcPr>
            <w:tcW w:w="3404" w:type="dxa"/>
          </w:tcPr>
          <w:p w:rsidR="00FE6AE0" w:rsidRPr="00C87D97" w:rsidRDefault="00FE6AE0" w:rsidP="008445C8">
            <w:pPr>
              <w:jc w:val="center"/>
              <w:rPr>
                <w:rFonts w:cstheme="minorHAnsi"/>
                <w:sz w:val="24"/>
                <w:szCs w:val="24"/>
              </w:rPr>
            </w:pPr>
            <w:r w:rsidRPr="00C87D97">
              <w:rPr>
                <w:rFonts w:cstheme="minorHAnsi"/>
                <w:sz w:val="24"/>
                <w:szCs w:val="24"/>
              </w:rPr>
              <w:t>&lt; 5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No immediate observable effects</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 xml:space="preserve">~ 5 to 50 rad </w:t>
            </w:r>
          </w:p>
        </w:tc>
        <w:tc>
          <w:tcPr>
            <w:tcW w:w="6671" w:type="dxa"/>
          </w:tcPr>
          <w:p w:rsidR="00FE6AE0" w:rsidRPr="00C87D97" w:rsidRDefault="00FE6AE0" w:rsidP="00FE6AE0">
            <w:pPr>
              <w:rPr>
                <w:rFonts w:cstheme="minorHAnsi"/>
                <w:sz w:val="24"/>
                <w:szCs w:val="24"/>
              </w:rPr>
            </w:pPr>
            <w:r w:rsidRPr="00C87D97">
              <w:rPr>
                <w:rFonts w:cstheme="minorHAnsi"/>
                <w:sz w:val="24"/>
                <w:szCs w:val="24"/>
              </w:rPr>
              <w:t>Slight blood changes may be detected by medical evaluations</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 50 to 150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Slight blood changes will be noted and symptoms of nausea, fatigue, vomiting, etc. likely</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 150 to 1,100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 xml:space="preserve">Severe blood changes </w:t>
            </w:r>
            <w:proofErr w:type="gramStart"/>
            <w:r w:rsidRPr="00C87D97">
              <w:rPr>
                <w:rFonts w:cstheme="minorHAnsi"/>
                <w:sz w:val="24"/>
                <w:szCs w:val="24"/>
              </w:rPr>
              <w:t>will be noted</w:t>
            </w:r>
            <w:proofErr w:type="gramEnd"/>
            <w:r w:rsidRPr="00C87D97">
              <w:rPr>
                <w:rFonts w:cstheme="minorHAnsi"/>
                <w:sz w:val="24"/>
                <w:szCs w:val="24"/>
              </w:rPr>
              <w:t xml:space="preserve"> and symptoms appear immediately. Approximately 2 weeks later, some of those exposed may die. At about 300 - 500 rad, up to </w:t>
            </w:r>
            <w:proofErr w:type="gramStart"/>
            <w:r w:rsidRPr="00C87D97">
              <w:rPr>
                <w:rFonts w:cstheme="minorHAnsi"/>
                <w:sz w:val="24"/>
                <w:szCs w:val="24"/>
              </w:rPr>
              <w:t>one half</w:t>
            </w:r>
            <w:proofErr w:type="gramEnd"/>
            <w:r w:rsidRPr="00C87D97">
              <w:rPr>
                <w:rFonts w:cstheme="minorHAnsi"/>
                <w:sz w:val="24"/>
                <w:szCs w:val="24"/>
              </w:rPr>
              <w:t xml:space="preserve"> of the people exposed will die within 60 days without intensive medical attention. Death is due to the destruction of the blood forming organs. Without white blood cells, infection is likely. At the lower end of the dose range, isolation, antibiotics, and transfusions may provide the bone marrow time to generate new blood cells and full recovery is possible. At the upper end of the dose range, a bone marrow transplant may be required to produce new blood cells.</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 1,100 to 2,000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 xml:space="preserve">The probability of death increases to 100% within one to two weeks. The initial symptoms appear immediately. A few days later, things get very bad, very quickly since the gastrointestinal system </w:t>
            </w:r>
            <w:proofErr w:type="gramStart"/>
            <w:r w:rsidRPr="00C87D97">
              <w:rPr>
                <w:rFonts w:cstheme="minorHAnsi"/>
                <w:sz w:val="24"/>
                <w:szCs w:val="24"/>
              </w:rPr>
              <w:t>is destroyed</w:t>
            </w:r>
            <w:proofErr w:type="gramEnd"/>
            <w:r w:rsidRPr="00C87D97">
              <w:rPr>
                <w:rFonts w:cstheme="minorHAnsi"/>
                <w:sz w:val="24"/>
                <w:szCs w:val="24"/>
              </w:rPr>
              <w:t xml:space="preserve">. Once the GI system ceases to function, nothing </w:t>
            </w:r>
            <w:proofErr w:type="gramStart"/>
            <w:r w:rsidRPr="00C87D97">
              <w:rPr>
                <w:rFonts w:cstheme="minorHAnsi"/>
                <w:sz w:val="24"/>
                <w:szCs w:val="24"/>
              </w:rPr>
              <w:t>can be done</w:t>
            </w:r>
            <w:proofErr w:type="gramEnd"/>
            <w:r w:rsidRPr="00C87D97">
              <w:rPr>
                <w:rFonts w:cstheme="minorHAnsi"/>
                <w:sz w:val="24"/>
                <w:szCs w:val="24"/>
              </w:rPr>
              <w:t>, and medical care is for comfort only.</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&gt; 2,000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Death is a certainty. At doses above 5,000 rad, the central nervous system (brain and muscles) can no longer control the body functions, including breathing blood circulation. Everything happens very quickly. Nothing can be done, and medical care is for comfort only</w:t>
            </w:r>
          </w:p>
        </w:tc>
      </w:tr>
    </w:tbl>
    <w:p w:rsidR="00E63B48" w:rsidRDefault="00E63B48" w:rsidP="00B0330C">
      <w:pPr>
        <w:rPr>
          <w:sz w:val="24"/>
          <w:szCs w:val="24"/>
        </w:rPr>
      </w:pPr>
    </w:p>
    <w:sectPr w:rsidR="00E63B48" w:rsidSect="00534C32">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E5" w:rsidRDefault="002E1DE5" w:rsidP="007873E9">
      <w:pPr>
        <w:spacing w:after="0" w:line="240" w:lineRule="auto"/>
      </w:pPr>
      <w:r>
        <w:separator/>
      </w:r>
    </w:p>
  </w:endnote>
  <w:endnote w:type="continuationSeparator" w:id="0">
    <w:p w:rsidR="002E1DE5" w:rsidRDefault="002E1DE5"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E5" w:rsidRDefault="002E1DE5" w:rsidP="007873E9">
      <w:pPr>
        <w:spacing w:after="0" w:line="240" w:lineRule="auto"/>
      </w:pPr>
      <w:r>
        <w:separator/>
      </w:r>
    </w:p>
  </w:footnote>
  <w:footnote w:type="continuationSeparator" w:id="0">
    <w:p w:rsidR="002E1DE5" w:rsidRDefault="002E1DE5"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BA28D5"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week 7</w:t>
                          </w:r>
                          <w:r w:rsidR="00A12B44">
                            <w:rPr>
                              <w:b/>
                              <w:caps/>
                              <w:color w:val="000000" w:themeColor="text1"/>
                              <w:sz w:val="28"/>
                              <w:szCs w:val="28"/>
                              <w:u w:val="single"/>
                            </w:rPr>
                            <w:t xml:space="preserve"> </w:t>
                          </w:r>
                          <w:r w:rsidR="00523DC4">
                            <w:rPr>
                              <w:b/>
                              <w:caps/>
                              <w:color w:val="000000" w:themeColor="text1"/>
                              <w:sz w:val="28"/>
                              <w:szCs w:val="28"/>
                              <w:u w:val="single"/>
                            </w:rPr>
                            <w:t>lecture</w:t>
                          </w:r>
                          <w:r w:rsidR="00A12B44">
                            <w:rPr>
                              <w:b/>
                              <w:caps/>
                              <w:color w:val="000000" w:themeColor="text1"/>
                              <w:sz w:val="28"/>
                              <w:szCs w:val="28"/>
                              <w:u w:val="single"/>
                            </w:rPr>
                            <w:t xml:space="preserve"> notes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C317F2" w:rsidP="00C43A09">
                          <w:pPr>
                            <w:pStyle w:val="Header"/>
                            <w:tabs>
                              <w:tab w:val="clear" w:pos="4680"/>
                              <w:tab w:val="clear" w:pos="9360"/>
                            </w:tabs>
                            <w:rPr>
                              <w:caps/>
                              <w:color w:val="000000" w:themeColor="text1"/>
                            </w:rPr>
                          </w:pPr>
                          <w:r>
                            <w:rPr>
                              <w:caps/>
                              <w:color w:val="000000" w:themeColor="text1"/>
                            </w:rPr>
                            <w:t xml:space="preserve"> </w:t>
                          </w:r>
                          <w:r w:rsidR="00BA28D5">
                            <w:rPr>
                              <w:caps/>
                              <w:color w:val="000000" w:themeColor="text1"/>
                            </w:rPr>
                            <w:t>QF, RAD, REM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BA28D5"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week 7</w:t>
                    </w:r>
                    <w:r w:rsidR="00A12B44">
                      <w:rPr>
                        <w:b/>
                        <w:caps/>
                        <w:color w:val="000000" w:themeColor="text1"/>
                        <w:sz w:val="28"/>
                        <w:szCs w:val="28"/>
                        <w:u w:val="single"/>
                      </w:rPr>
                      <w:t xml:space="preserve"> </w:t>
                    </w:r>
                    <w:r w:rsidR="00523DC4">
                      <w:rPr>
                        <w:b/>
                        <w:caps/>
                        <w:color w:val="000000" w:themeColor="text1"/>
                        <w:sz w:val="28"/>
                        <w:szCs w:val="28"/>
                        <w:u w:val="single"/>
                      </w:rPr>
                      <w:t>lecture</w:t>
                    </w:r>
                    <w:r w:rsidR="00A12B44">
                      <w:rPr>
                        <w:b/>
                        <w:caps/>
                        <w:color w:val="000000" w:themeColor="text1"/>
                        <w:sz w:val="28"/>
                        <w:szCs w:val="28"/>
                        <w:u w:val="single"/>
                      </w:rPr>
                      <w:t xml:space="preserve"> notes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C317F2" w:rsidP="00C43A09">
                    <w:pPr>
                      <w:pStyle w:val="Header"/>
                      <w:tabs>
                        <w:tab w:val="clear" w:pos="4680"/>
                        <w:tab w:val="clear" w:pos="9360"/>
                      </w:tabs>
                      <w:rPr>
                        <w:caps/>
                        <w:color w:val="000000" w:themeColor="text1"/>
                      </w:rPr>
                    </w:pPr>
                    <w:r>
                      <w:rPr>
                        <w:caps/>
                        <w:color w:val="000000" w:themeColor="text1"/>
                      </w:rPr>
                      <w:t xml:space="preserve"> </w:t>
                    </w:r>
                    <w:r w:rsidR="00BA28D5">
                      <w:rPr>
                        <w:caps/>
                        <w:color w:val="000000" w:themeColor="text1"/>
                      </w:rPr>
                      <w:t>QF, RAD, REM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592"/>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8A0247"/>
    <w:multiLevelType w:val="hybridMultilevel"/>
    <w:tmpl w:val="210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9A6A39"/>
    <w:multiLevelType w:val="hybridMultilevel"/>
    <w:tmpl w:val="DB282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35FA"/>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28161E"/>
    <w:multiLevelType w:val="hybridMultilevel"/>
    <w:tmpl w:val="3EDC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7E17"/>
    <w:multiLevelType w:val="hybridMultilevel"/>
    <w:tmpl w:val="0758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8F4D6C"/>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
  </w:num>
  <w:num w:numId="3">
    <w:abstractNumId w:val="16"/>
  </w:num>
  <w:num w:numId="4">
    <w:abstractNumId w:val="2"/>
  </w:num>
  <w:num w:numId="5">
    <w:abstractNumId w:val="6"/>
  </w:num>
  <w:num w:numId="6">
    <w:abstractNumId w:val="13"/>
  </w:num>
  <w:num w:numId="7">
    <w:abstractNumId w:val="7"/>
  </w:num>
  <w:num w:numId="8">
    <w:abstractNumId w:val="10"/>
  </w:num>
  <w:num w:numId="9">
    <w:abstractNumId w:val="15"/>
  </w:num>
  <w:num w:numId="10">
    <w:abstractNumId w:val="0"/>
  </w:num>
  <w:num w:numId="11">
    <w:abstractNumId w:val="3"/>
  </w:num>
  <w:num w:numId="12">
    <w:abstractNumId w:val="14"/>
  </w:num>
  <w:num w:numId="13">
    <w:abstractNumId w:val="5"/>
  </w:num>
  <w:num w:numId="14">
    <w:abstractNumId w:val="11"/>
  </w:num>
  <w:num w:numId="15">
    <w:abstractNumId w:val="8"/>
  </w:num>
  <w:num w:numId="16">
    <w:abstractNumId w:val="4"/>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38BC"/>
    <w:rsid w:val="00033C3D"/>
    <w:rsid w:val="00037FD9"/>
    <w:rsid w:val="000405A6"/>
    <w:rsid w:val="0004484D"/>
    <w:rsid w:val="00051A3F"/>
    <w:rsid w:val="0006030B"/>
    <w:rsid w:val="000677A4"/>
    <w:rsid w:val="00083F72"/>
    <w:rsid w:val="000944EA"/>
    <w:rsid w:val="00095938"/>
    <w:rsid w:val="000B0233"/>
    <w:rsid w:val="000C67EC"/>
    <w:rsid w:val="000D6F20"/>
    <w:rsid w:val="000E19F0"/>
    <w:rsid w:val="000F119B"/>
    <w:rsid w:val="00104FB0"/>
    <w:rsid w:val="001111C3"/>
    <w:rsid w:val="00111B0E"/>
    <w:rsid w:val="001178CB"/>
    <w:rsid w:val="00127C43"/>
    <w:rsid w:val="0014602A"/>
    <w:rsid w:val="001479B6"/>
    <w:rsid w:val="00151726"/>
    <w:rsid w:val="00154B7D"/>
    <w:rsid w:val="00155415"/>
    <w:rsid w:val="0018502E"/>
    <w:rsid w:val="0019034A"/>
    <w:rsid w:val="0019432D"/>
    <w:rsid w:val="00194FFF"/>
    <w:rsid w:val="001A1D1F"/>
    <w:rsid w:val="001A268E"/>
    <w:rsid w:val="001A7552"/>
    <w:rsid w:val="001B062D"/>
    <w:rsid w:val="001D395C"/>
    <w:rsid w:val="001E0C21"/>
    <w:rsid w:val="001E146A"/>
    <w:rsid w:val="001F765D"/>
    <w:rsid w:val="00201269"/>
    <w:rsid w:val="0022249F"/>
    <w:rsid w:val="00224712"/>
    <w:rsid w:val="00225372"/>
    <w:rsid w:val="002262AA"/>
    <w:rsid w:val="002306A8"/>
    <w:rsid w:val="00237550"/>
    <w:rsid w:val="00237B9D"/>
    <w:rsid w:val="002458E5"/>
    <w:rsid w:val="00246CB2"/>
    <w:rsid w:val="00266DF5"/>
    <w:rsid w:val="002A47ED"/>
    <w:rsid w:val="002A4C4F"/>
    <w:rsid w:val="002A6691"/>
    <w:rsid w:val="002B6128"/>
    <w:rsid w:val="002C5786"/>
    <w:rsid w:val="002C59DA"/>
    <w:rsid w:val="002C5BE3"/>
    <w:rsid w:val="002D5EAC"/>
    <w:rsid w:val="002E1488"/>
    <w:rsid w:val="002E1B59"/>
    <w:rsid w:val="002E1DE5"/>
    <w:rsid w:val="002E7643"/>
    <w:rsid w:val="002F3E17"/>
    <w:rsid w:val="002F546C"/>
    <w:rsid w:val="002F7CF0"/>
    <w:rsid w:val="00304E0E"/>
    <w:rsid w:val="00310279"/>
    <w:rsid w:val="0031088E"/>
    <w:rsid w:val="00315A9A"/>
    <w:rsid w:val="0032052F"/>
    <w:rsid w:val="00322110"/>
    <w:rsid w:val="00324BCE"/>
    <w:rsid w:val="00331241"/>
    <w:rsid w:val="00341762"/>
    <w:rsid w:val="00343E40"/>
    <w:rsid w:val="003441F4"/>
    <w:rsid w:val="00347065"/>
    <w:rsid w:val="003470F5"/>
    <w:rsid w:val="00350B5F"/>
    <w:rsid w:val="0036012D"/>
    <w:rsid w:val="0036359F"/>
    <w:rsid w:val="00365EDB"/>
    <w:rsid w:val="003727F8"/>
    <w:rsid w:val="0038595F"/>
    <w:rsid w:val="00386CDA"/>
    <w:rsid w:val="003A7247"/>
    <w:rsid w:val="003B2905"/>
    <w:rsid w:val="003B4311"/>
    <w:rsid w:val="003B54F6"/>
    <w:rsid w:val="003C6FFD"/>
    <w:rsid w:val="003E58B4"/>
    <w:rsid w:val="003F5547"/>
    <w:rsid w:val="00406E24"/>
    <w:rsid w:val="00411B7B"/>
    <w:rsid w:val="00424C9A"/>
    <w:rsid w:val="0044105B"/>
    <w:rsid w:val="00453B23"/>
    <w:rsid w:val="00461B1A"/>
    <w:rsid w:val="00465D3F"/>
    <w:rsid w:val="00485121"/>
    <w:rsid w:val="00490084"/>
    <w:rsid w:val="00494F75"/>
    <w:rsid w:val="00495117"/>
    <w:rsid w:val="004954B8"/>
    <w:rsid w:val="004A2523"/>
    <w:rsid w:val="004B3022"/>
    <w:rsid w:val="004B5F47"/>
    <w:rsid w:val="004C7503"/>
    <w:rsid w:val="004D1409"/>
    <w:rsid w:val="004D1D1E"/>
    <w:rsid w:val="004D678B"/>
    <w:rsid w:val="004F6C9E"/>
    <w:rsid w:val="00500B99"/>
    <w:rsid w:val="0050233C"/>
    <w:rsid w:val="00510384"/>
    <w:rsid w:val="00511AD6"/>
    <w:rsid w:val="00523DC4"/>
    <w:rsid w:val="00525758"/>
    <w:rsid w:val="00525A43"/>
    <w:rsid w:val="00534C32"/>
    <w:rsid w:val="00535B5E"/>
    <w:rsid w:val="005413CE"/>
    <w:rsid w:val="0054269E"/>
    <w:rsid w:val="0054444C"/>
    <w:rsid w:val="0055347B"/>
    <w:rsid w:val="00561579"/>
    <w:rsid w:val="00564456"/>
    <w:rsid w:val="00566600"/>
    <w:rsid w:val="005A44C6"/>
    <w:rsid w:val="005B1E3D"/>
    <w:rsid w:val="005C0C19"/>
    <w:rsid w:val="005D7AE3"/>
    <w:rsid w:val="005E4618"/>
    <w:rsid w:val="005F07D9"/>
    <w:rsid w:val="005F298D"/>
    <w:rsid w:val="00603750"/>
    <w:rsid w:val="006277EB"/>
    <w:rsid w:val="0063518A"/>
    <w:rsid w:val="006362C6"/>
    <w:rsid w:val="0063650A"/>
    <w:rsid w:val="00642795"/>
    <w:rsid w:val="006455BC"/>
    <w:rsid w:val="006457A6"/>
    <w:rsid w:val="00672286"/>
    <w:rsid w:val="006B079C"/>
    <w:rsid w:val="006B56F3"/>
    <w:rsid w:val="006D0341"/>
    <w:rsid w:val="006D24DC"/>
    <w:rsid w:val="006F2C24"/>
    <w:rsid w:val="00736B6E"/>
    <w:rsid w:val="00763E68"/>
    <w:rsid w:val="00765402"/>
    <w:rsid w:val="00766D9C"/>
    <w:rsid w:val="0077476A"/>
    <w:rsid w:val="007873E9"/>
    <w:rsid w:val="007877E4"/>
    <w:rsid w:val="00797793"/>
    <w:rsid w:val="007A15C7"/>
    <w:rsid w:val="007A3C25"/>
    <w:rsid w:val="007B384F"/>
    <w:rsid w:val="007B79E2"/>
    <w:rsid w:val="007D6F65"/>
    <w:rsid w:val="007F786A"/>
    <w:rsid w:val="008054C1"/>
    <w:rsid w:val="00805FC2"/>
    <w:rsid w:val="00807BD4"/>
    <w:rsid w:val="00813146"/>
    <w:rsid w:val="0081410D"/>
    <w:rsid w:val="008369CF"/>
    <w:rsid w:val="00837882"/>
    <w:rsid w:val="008409DC"/>
    <w:rsid w:val="008445C8"/>
    <w:rsid w:val="0084536D"/>
    <w:rsid w:val="0086795C"/>
    <w:rsid w:val="00880AC0"/>
    <w:rsid w:val="00882D6C"/>
    <w:rsid w:val="00891B63"/>
    <w:rsid w:val="008B3239"/>
    <w:rsid w:val="008B3BC8"/>
    <w:rsid w:val="008B4308"/>
    <w:rsid w:val="008D0C91"/>
    <w:rsid w:val="008D1188"/>
    <w:rsid w:val="008D3202"/>
    <w:rsid w:val="008E1F7D"/>
    <w:rsid w:val="008F0D34"/>
    <w:rsid w:val="008F25DD"/>
    <w:rsid w:val="00920B77"/>
    <w:rsid w:val="009465A1"/>
    <w:rsid w:val="009546D0"/>
    <w:rsid w:val="009570A9"/>
    <w:rsid w:val="0096303A"/>
    <w:rsid w:val="009635CF"/>
    <w:rsid w:val="00972643"/>
    <w:rsid w:val="00974A3F"/>
    <w:rsid w:val="00980ED0"/>
    <w:rsid w:val="009879C5"/>
    <w:rsid w:val="0099785C"/>
    <w:rsid w:val="009A23CC"/>
    <w:rsid w:val="009A39DA"/>
    <w:rsid w:val="009A4662"/>
    <w:rsid w:val="009C10C5"/>
    <w:rsid w:val="009D0A72"/>
    <w:rsid w:val="009D6104"/>
    <w:rsid w:val="00A111D9"/>
    <w:rsid w:val="00A12B44"/>
    <w:rsid w:val="00A14A6C"/>
    <w:rsid w:val="00A23DB6"/>
    <w:rsid w:val="00A36F9E"/>
    <w:rsid w:val="00A4523A"/>
    <w:rsid w:val="00A45BF7"/>
    <w:rsid w:val="00A52C88"/>
    <w:rsid w:val="00A538DF"/>
    <w:rsid w:val="00A57331"/>
    <w:rsid w:val="00A76BFF"/>
    <w:rsid w:val="00A84AE1"/>
    <w:rsid w:val="00A86594"/>
    <w:rsid w:val="00A90BF9"/>
    <w:rsid w:val="00A90D32"/>
    <w:rsid w:val="00A91C3A"/>
    <w:rsid w:val="00AA031B"/>
    <w:rsid w:val="00AA600E"/>
    <w:rsid w:val="00AC0DA9"/>
    <w:rsid w:val="00AC3925"/>
    <w:rsid w:val="00AC59D7"/>
    <w:rsid w:val="00AD4B7A"/>
    <w:rsid w:val="00AD7852"/>
    <w:rsid w:val="00AF37A4"/>
    <w:rsid w:val="00B0330C"/>
    <w:rsid w:val="00B20D9C"/>
    <w:rsid w:val="00B251EE"/>
    <w:rsid w:val="00B27073"/>
    <w:rsid w:val="00B2734C"/>
    <w:rsid w:val="00B36CB5"/>
    <w:rsid w:val="00B42697"/>
    <w:rsid w:val="00B45F06"/>
    <w:rsid w:val="00B551F5"/>
    <w:rsid w:val="00B720F0"/>
    <w:rsid w:val="00B77392"/>
    <w:rsid w:val="00B940E5"/>
    <w:rsid w:val="00BA28D5"/>
    <w:rsid w:val="00BA466B"/>
    <w:rsid w:val="00BA481C"/>
    <w:rsid w:val="00BB6697"/>
    <w:rsid w:val="00BC129C"/>
    <w:rsid w:val="00BC3E06"/>
    <w:rsid w:val="00BD72C4"/>
    <w:rsid w:val="00BF5694"/>
    <w:rsid w:val="00C02315"/>
    <w:rsid w:val="00C10C0B"/>
    <w:rsid w:val="00C21D3F"/>
    <w:rsid w:val="00C25C40"/>
    <w:rsid w:val="00C26D86"/>
    <w:rsid w:val="00C317F2"/>
    <w:rsid w:val="00C3330A"/>
    <w:rsid w:val="00C37207"/>
    <w:rsid w:val="00C43A09"/>
    <w:rsid w:val="00C47EFF"/>
    <w:rsid w:val="00C65173"/>
    <w:rsid w:val="00C725A4"/>
    <w:rsid w:val="00C84CE4"/>
    <w:rsid w:val="00C8729C"/>
    <w:rsid w:val="00C87D97"/>
    <w:rsid w:val="00C965AE"/>
    <w:rsid w:val="00CA0728"/>
    <w:rsid w:val="00CB0CF4"/>
    <w:rsid w:val="00CB2DB3"/>
    <w:rsid w:val="00CC0E2F"/>
    <w:rsid w:val="00CD1A2F"/>
    <w:rsid w:val="00CE5377"/>
    <w:rsid w:val="00D06BED"/>
    <w:rsid w:val="00D07DDB"/>
    <w:rsid w:val="00D137AB"/>
    <w:rsid w:val="00D15BA9"/>
    <w:rsid w:val="00D40CDD"/>
    <w:rsid w:val="00D42A36"/>
    <w:rsid w:val="00D445C9"/>
    <w:rsid w:val="00D454CE"/>
    <w:rsid w:val="00D51AC5"/>
    <w:rsid w:val="00D6778C"/>
    <w:rsid w:val="00D71579"/>
    <w:rsid w:val="00D76D9E"/>
    <w:rsid w:val="00D9009C"/>
    <w:rsid w:val="00D9585A"/>
    <w:rsid w:val="00DA2642"/>
    <w:rsid w:val="00DA7A4C"/>
    <w:rsid w:val="00DB251E"/>
    <w:rsid w:val="00DC29C8"/>
    <w:rsid w:val="00DD2369"/>
    <w:rsid w:val="00DD3C54"/>
    <w:rsid w:val="00DD6521"/>
    <w:rsid w:val="00DF4639"/>
    <w:rsid w:val="00DF56F1"/>
    <w:rsid w:val="00E04071"/>
    <w:rsid w:val="00E04AED"/>
    <w:rsid w:val="00E236AD"/>
    <w:rsid w:val="00E2735E"/>
    <w:rsid w:val="00E307AC"/>
    <w:rsid w:val="00E30809"/>
    <w:rsid w:val="00E35D0B"/>
    <w:rsid w:val="00E4356A"/>
    <w:rsid w:val="00E436D9"/>
    <w:rsid w:val="00E56986"/>
    <w:rsid w:val="00E63B48"/>
    <w:rsid w:val="00E66A92"/>
    <w:rsid w:val="00E85280"/>
    <w:rsid w:val="00E93C6F"/>
    <w:rsid w:val="00EA5681"/>
    <w:rsid w:val="00EA7A7C"/>
    <w:rsid w:val="00EB0A5F"/>
    <w:rsid w:val="00EB192A"/>
    <w:rsid w:val="00EB1EBE"/>
    <w:rsid w:val="00EB2AD1"/>
    <w:rsid w:val="00EB7557"/>
    <w:rsid w:val="00EC261D"/>
    <w:rsid w:val="00EC669F"/>
    <w:rsid w:val="00ED0177"/>
    <w:rsid w:val="00EE00CE"/>
    <w:rsid w:val="00EF3A4E"/>
    <w:rsid w:val="00F009C0"/>
    <w:rsid w:val="00F0178C"/>
    <w:rsid w:val="00F07422"/>
    <w:rsid w:val="00F07545"/>
    <w:rsid w:val="00F07E79"/>
    <w:rsid w:val="00F12BBB"/>
    <w:rsid w:val="00F26E50"/>
    <w:rsid w:val="00F30764"/>
    <w:rsid w:val="00F33735"/>
    <w:rsid w:val="00F42F7F"/>
    <w:rsid w:val="00F502EC"/>
    <w:rsid w:val="00F61998"/>
    <w:rsid w:val="00F63CF9"/>
    <w:rsid w:val="00F6620D"/>
    <w:rsid w:val="00F714E4"/>
    <w:rsid w:val="00F86C21"/>
    <w:rsid w:val="00FA22CA"/>
    <w:rsid w:val="00FA54B2"/>
    <w:rsid w:val="00FB030B"/>
    <w:rsid w:val="00FC36D0"/>
    <w:rsid w:val="00FD1158"/>
    <w:rsid w:val="00FD3B18"/>
    <w:rsid w:val="00FE6AE0"/>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D808A"/>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6A"/>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1919365497">
      <w:bodyDiv w:val="1"/>
      <w:marLeft w:val="0"/>
      <w:marRight w:val="0"/>
      <w:marTop w:val="0"/>
      <w:marBottom w:val="0"/>
      <w:divBdr>
        <w:top w:val="none" w:sz="0" w:space="0" w:color="auto"/>
        <w:left w:val="none" w:sz="0" w:space="0" w:color="auto"/>
        <w:bottom w:val="none" w:sz="0" w:space="0" w:color="auto"/>
        <w:right w:val="none" w:sz="0" w:space="0" w:color="auto"/>
      </w:divBdr>
      <w:divsChild>
        <w:div w:id="928852971">
          <w:marLeft w:val="360"/>
          <w:marRight w:val="0"/>
          <w:marTop w:val="360"/>
          <w:marBottom w:val="0"/>
          <w:divBdr>
            <w:top w:val="none" w:sz="0" w:space="0" w:color="auto"/>
            <w:left w:val="none" w:sz="0" w:space="0" w:color="auto"/>
            <w:bottom w:val="none" w:sz="0" w:space="0" w:color="auto"/>
            <w:right w:val="none" w:sz="0" w:space="0" w:color="auto"/>
          </w:divBdr>
        </w:div>
      </w:divsChild>
    </w:div>
    <w:div w:id="2068792777">
      <w:bodyDiv w:val="1"/>
      <w:marLeft w:val="0"/>
      <w:marRight w:val="0"/>
      <w:marTop w:val="0"/>
      <w:marBottom w:val="0"/>
      <w:divBdr>
        <w:top w:val="none" w:sz="0" w:space="0" w:color="auto"/>
        <w:left w:val="none" w:sz="0" w:space="0" w:color="auto"/>
        <w:bottom w:val="none" w:sz="0" w:space="0" w:color="auto"/>
        <w:right w:val="none" w:sz="0" w:space="0" w:color="auto"/>
      </w:divBdr>
      <w:divsChild>
        <w:div w:id="1282808320">
          <w:marLeft w:val="360"/>
          <w:marRight w:val="0"/>
          <w:marTop w:val="360"/>
          <w:marBottom w:val="0"/>
          <w:divBdr>
            <w:top w:val="none" w:sz="0" w:space="0" w:color="auto"/>
            <w:left w:val="none" w:sz="0" w:space="0" w:color="auto"/>
            <w:bottom w:val="none" w:sz="0" w:space="0" w:color="auto"/>
            <w:right w:val="none" w:sz="0" w:space="0" w:color="auto"/>
          </w:divBdr>
        </w:div>
      </w:divsChild>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rc.gov/reading-rm/basic-ref/students/for-educators/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19</cp:revision>
  <cp:lastPrinted>2018-01-26T23:38:00Z</cp:lastPrinted>
  <dcterms:created xsi:type="dcterms:W3CDTF">2019-04-19T18:05:00Z</dcterms:created>
  <dcterms:modified xsi:type="dcterms:W3CDTF">2019-04-23T03:24:00Z</dcterms:modified>
</cp:coreProperties>
</file>